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83" w:rsidRPr="00B355B6" w:rsidRDefault="00D76183" w:rsidP="00D76183">
      <w:pPr>
        <w:spacing w:line="360" w:lineRule="auto"/>
        <w:jc w:val="both"/>
        <w:rPr>
          <w:rFonts w:ascii="Palatino Linotype" w:hAnsi="Palatino Linotype" w:cs="Arial"/>
          <w:b/>
        </w:rPr>
      </w:pPr>
      <w:r w:rsidRPr="00B355B6">
        <w:rPr>
          <w:rFonts w:ascii="Palatino Linotype" w:hAnsi="Palatino Linotype" w:cs="Arial"/>
          <w:b/>
        </w:rPr>
        <w:t>VOTO DISIDENTE DEL COMISIONADO JOSÉ GUADALUPE LUNA HERNÁNDEZ EN EL RECURSO DE REVISIÓN 0</w:t>
      </w:r>
      <w:r w:rsidR="00500F30" w:rsidRPr="00B355B6">
        <w:rPr>
          <w:rFonts w:ascii="Palatino Linotype" w:hAnsi="Palatino Linotype" w:cs="Arial"/>
          <w:b/>
        </w:rPr>
        <w:t>2140</w:t>
      </w:r>
      <w:r w:rsidRPr="00B355B6">
        <w:rPr>
          <w:rFonts w:ascii="Palatino Linotype" w:hAnsi="Palatino Linotype" w:cs="Arial"/>
          <w:b/>
        </w:rPr>
        <w:t>/INFOEM/IP/RR/201</w:t>
      </w:r>
      <w:r w:rsidR="00500F30" w:rsidRPr="00B355B6">
        <w:rPr>
          <w:rFonts w:ascii="Palatino Linotype" w:hAnsi="Palatino Linotype" w:cs="Arial"/>
          <w:b/>
        </w:rPr>
        <w:t>8</w:t>
      </w:r>
      <w:r w:rsidRPr="00B355B6">
        <w:rPr>
          <w:rFonts w:ascii="Palatino Linotype" w:hAnsi="Palatino Linotype" w:cs="Arial"/>
          <w:b/>
        </w:rPr>
        <w:t>.</w:t>
      </w:r>
    </w:p>
    <w:p w:rsidR="00D76183" w:rsidRPr="00B355B6" w:rsidRDefault="00D76183" w:rsidP="00D76183">
      <w:pPr>
        <w:spacing w:line="360" w:lineRule="auto"/>
        <w:jc w:val="both"/>
        <w:rPr>
          <w:rFonts w:ascii="Palatino Linotype" w:hAnsi="Palatino Linotype" w:cs="Arial"/>
        </w:rPr>
      </w:pPr>
      <w:r w:rsidRPr="00B355B6">
        <w:rPr>
          <w:rFonts w:ascii="Palatino Linotype" w:hAnsi="Palatino Linotype" w:cs="Arial"/>
        </w:rPr>
        <w:t>Líneas argumentativas.</w:t>
      </w:r>
    </w:p>
    <w:p w:rsidR="00D76183" w:rsidRPr="00B355B6" w:rsidRDefault="00D76183" w:rsidP="00D76183">
      <w:pPr>
        <w:spacing w:before="240" w:after="240" w:line="360" w:lineRule="auto"/>
        <w:jc w:val="both"/>
        <w:rPr>
          <w:rFonts w:ascii="Palatino Linotype" w:hAnsi="Palatino Linotype" w:cs="Arial"/>
          <w:sz w:val="22"/>
          <w:szCs w:val="22"/>
        </w:rPr>
      </w:pPr>
      <w:r w:rsidRPr="00B355B6">
        <w:rPr>
          <w:rFonts w:ascii="Palatino Linotype" w:hAnsi="Palatino Linotype" w:cs="Arial"/>
          <w:sz w:val="22"/>
          <w:szCs w:val="22"/>
        </w:rPr>
        <w:t xml:space="preserve">Los servicios de protección, custodia, vigilancia y seguridad a dependencias y organismos públicos forman parte de la función general de seguridad pública, susceptibles de generar </w:t>
      </w:r>
      <w:r w:rsidR="001355C7" w:rsidRPr="00B355B6">
        <w:rPr>
          <w:rFonts w:ascii="Palatino Linotype" w:hAnsi="Palatino Linotype" w:cs="Arial"/>
          <w:sz w:val="22"/>
          <w:szCs w:val="22"/>
        </w:rPr>
        <w:t>documentación pública.</w:t>
      </w:r>
    </w:p>
    <w:p w:rsidR="00D76183" w:rsidRPr="00B355B6" w:rsidRDefault="00D76183" w:rsidP="00D76183">
      <w:pPr>
        <w:spacing w:before="240" w:after="360" w:line="360" w:lineRule="auto"/>
        <w:jc w:val="both"/>
        <w:rPr>
          <w:rFonts w:ascii="Palatino Linotype" w:hAnsi="Palatino Linotype" w:cs="Arial"/>
          <w:sz w:val="22"/>
          <w:szCs w:val="22"/>
        </w:rPr>
      </w:pPr>
      <w:r w:rsidRPr="00B355B6">
        <w:rPr>
          <w:rFonts w:ascii="Palatino Linotype" w:hAnsi="Palatino Linotype" w:cs="Arial"/>
          <w:sz w:val="22"/>
          <w:szCs w:val="22"/>
        </w:rPr>
        <w:t>El organismo que brinda los servicios de protección, custodia, vigilancia y seguridad es un particular aut</w:t>
      </w:r>
      <w:r w:rsidR="001355C7" w:rsidRPr="00B355B6">
        <w:rPr>
          <w:rFonts w:ascii="Palatino Linotype" w:hAnsi="Palatino Linotype" w:cs="Arial"/>
          <w:sz w:val="22"/>
          <w:szCs w:val="22"/>
        </w:rPr>
        <w:t>orizado por el Estado.</w:t>
      </w:r>
    </w:p>
    <w:p w:rsidR="00D76183" w:rsidRPr="00B355B6" w:rsidRDefault="00D76183" w:rsidP="00D76183">
      <w:pPr>
        <w:spacing w:before="240" w:after="360" w:line="360" w:lineRule="auto"/>
        <w:jc w:val="both"/>
        <w:rPr>
          <w:rFonts w:ascii="Palatino Linotype" w:eastAsia="Calibri" w:hAnsi="Palatino Linotype"/>
          <w:sz w:val="22"/>
          <w:szCs w:val="22"/>
          <w:lang w:val="es-ES" w:eastAsia="es-ES"/>
        </w:rPr>
      </w:pPr>
      <w:r w:rsidRPr="00B355B6">
        <w:rPr>
          <w:rFonts w:ascii="Palatino Linotype" w:hAnsi="Palatino Linotype" w:cs="Arial"/>
          <w:sz w:val="22"/>
          <w:szCs w:val="22"/>
        </w:rPr>
        <w:t>Los servicios que brinda el organismo auxiliar aun cuando se trata de una actividad auxiliar de la función de seguridad pública es una acción brindada por un particular que actúa a nombre del Estado</w:t>
      </w:r>
      <w:r w:rsidR="001355C7" w:rsidRPr="00B355B6">
        <w:rPr>
          <w:rFonts w:ascii="Palatino Linotype" w:hAnsi="Palatino Linotype" w:cs="Arial"/>
          <w:sz w:val="22"/>
          <w:szCs w:val="22"/>
        </w:rPr>
        <w:t>, autorizado por éste.</w:t>
      </w:r>
    </w:p>
    <w:p w:rsidR="00D76183" w:rsidRPr="00B355B6" w:rsidRDefault="00D76183" w:rsidP="00D76183">
      <w:pPr>
        <w:spacing w:before="240" w:after="240" w:line="360" w:lineRule="auto"/>
        <w:jc w:val="both"/>
        <w:rPr>
          <w:rFonts w:ascii="Palatino Linotype" w:eastAsia="Calibri" w:hAnsi="Palatino Linotype"/>
          <w:sz w:val="22"/>
          <w:szCs w:val="22"/>
          <w:lang w:eastAsia="es-ES"/>
        </w:rPr>
      </w:pPr>
      <w:r w:rsidRPr="00B355B6">
        <w:rPr>
          <w:rFonts w:ascii="Palatino Linotype" w:eastAsia="Calibri" w:hAnsi="Palatino Linotype"/>
          <w:sz w:val="22"/>
          <w:szCs w:val="22"/>
          <w:lang w:eastAsia="es-ES"/>
        </w:rPr>
        <w:t>Cuando la respuesta emitida por el Sujeto Obligado, al amparo de las disposiciones jurídicas insuficientes y deficientes, pretenden negar la información solicitada, se vulnera el derecho de acceso a l</w:t>
      </w:r>
      <w:r w:rsidR="001355C7" w:rsidRPr="00B355B6">
        <w:rPr>
          <w:rFonts w:ascii="Palatino Linotype" w:eastAsia="Calibri" w:hAnsi="Palatino Linotype"/>
          <w:sz w:val="22"/>
          <w:szCs w:val="22"/>
          <w:lang w:eastAsia="es-ES"/>
        </w:rPr>
        <w:t xml:space="preserve">a información pública. </w:t>
      </w:r>
    </w:p>
    <w:p w:rsidR="00D76183" w:rsidRPr="00B355B6" w:rsidRDefault="00D76183" w:rsidP="00D76183">
      <w:pPr>
        <w:spacing w:before="240" w:after="360" w:line="360" w:lineRule="auto"/>
        <w:jc w:val="both"/>
        <w:rPr>
          <w:rFonts w:ascii="Palatino Linotype" w:hAnsi="Palatino Linotype" w:cs="Arial"/>
          <w:sz w:val="22"/>
          <w:szCs w:val="22"/>
        </w:rPr>
      </w:pPr>
      <w:r w:rsidRPr="00B355B6">
        <w:rPr>
          <w:rFonts w:ascii="Palatino Linotype" w:hAnsi="Palatino Linotype" w:cs="Arial"/>
          <w:sz w:val="22"/>
          <w:szCs w:val="22"/>
        </w:rPr>
        <w:t xml:space="preserve">Tratándose de una búsqueda deficiente, ésta debe de realizarse manera exhaustiva para estar en condiciones de entregar la </w:t>
      </w:r>
      <w:r w:rsidR="001355C7" w:rsidRPr="00B355B6">
        <w:rPr>
          <w:rFonts w:ascii="Palatino Linotype" w:hAnsi="Palatino Linotype" w:cs="Arial"/>
          <w:sz w:val="22"/>
          <w:szCs w:val="22"/>
        </w:rPr>
        <w:t xml:space="preserve">información requerida. </w:t>
      </w:r>
    </w:p>
    <w:p w:rsidR="00D76183" w:rsidRPr="00B355B6" w:rsidRDefault="00D76183" w:rsidP="00D76183">
      <w:pPr>
        <w:spacing w:before="240" w:after="360" w:line="360" w:lineRule="auto"/>
        <w:jc w:val="both"/>
        <w:rPr>
          <w:rFonts w:ascii="Palatino Linotype" w:hAnsi="Palatino Linotype" w:cs="Arial"/>
          <w:sz w:val="22"/>
          <w:szCs w:val="22"/>
        </w:rPr>
      </w:pPr>
      <w:r w:rsidRPr="00B355B6">
        <w:rPr>
          <w:rFonts w:ascii="Palatino Linotype" w:hAnsi="Palatino Linotype" w:cs="Arial"/>
          <w:sz w:val="22"/>
          <w:szCs w:val="22"/>
        </w:rPr>
        <w:t xml:space="preserve">Frente a un intento injustificado de negar el acceso a información existente, ello debe de ser corregido para cumplir el estándar interamericano de protección al derecho humano de </w:t>
      </w:r>
      <w:proofErr w:type="gramStart"/>
      <w:r w:rsidRPr="00B355B6">
        <w:rPr>
          <w:rFonts w:ascii="Palatino Linotype" w:hAnsi="Palatino Linotype" w:cs="Arial"/>
          <w:sz w:val="22"/>
          <w:szCs w:val="22"/>
        </w:rPr>
        <w:t>acceso</w:t>
      </w:r>
      <w:proofErr w:type="gramEnd"/>
      <w:r w:rsidRPr="00B355B6">
        <w:rPr>
          <w:rFonts w:ascii="Palatino Linotype" w:hAnsi="Palatino Linotype" w:cs="Arial"/>
          <w:sz w:val="22"/>
          <w:szCs w:val="22"/>
        </w:rPr>
        <w:t xml:space="preserve"> a l</w:t>
      </w:r>
      <w:r w:rsidR="001355C7" w:rsidRPr="00B355B6">
        <w:rPr>
          <w:rFonts w:ascii="Palatino Linotype" w:hAnsi="Palatino Linotype" w:cs="Arial"/>
          <w:sz w:val="22"/>
          <w:szCs w:val="22"/>
        </w:rPr>
        <w:t>a información pública.</w:t>
      </w:r>
    </w:p>
    <w:p w:rsidR="00D76183" w:rsidRPr="00B355B6" w:rsidRDefault="00D76183" w:rsidP="00D76183">
      <w:pPr>
        <w:spacing w:line="360" w:lineRule="auto"/>
        <w:jc w:val="both"/>
        <w:rPr>
          <w:rFonts w:ascii="Palatino Linotype" w:hAnsi="Palatino Linotype" w:cs="Arial"/>
          <w:sz w:val="22"/>
          <w:szCs w:val="22"/>
        </w:rPr>
      </w:pPr>
      <w:r w:rsidRPr="00B355B6">
        <w:rPr>
          <w:rFonts w:ascii="Palatino Linotype" w:hAnsi="Palatino Linotype" w:cs="Arial"/>
          <w:sz w:val="22"/>
          <w:szCs w:val="22"/>
        </w:rPr>
        <w:lastRenderedPageBreak/>
        <w:t>De no existir la documentación que debió, por mandato de ley, generarse, es obligación de la autoridad emitir un</w:t>
      </w:r>
      <w:r w:rsidR="001355C7" w:rsidRPr="00B355B6">
        <w:rPr>
          <w:rFonts w:ascii="Palatino Linotype" w:hAnsi="Palatino Linotype" w:cs="Arial"/>
          <w:sz w:val="22"/>
          <w:szCs w:val="22"/>
        </w:rPr>
        <w:t xml:space="preserve">a declaratoria formal. </w:t>
      </w:r>
    </w:p>
    <w:p w:rsidR="00D76183" w:rsidRDefault="00D76183" w:rsidP="00D76183">
      <w:pPr>
        <w:spacing w:line="360" w:lineRule="auto"/>
        <w:jc w:val="both"/>
        <w:rPr>
          <w:rFonts w:ascii="Palatino Linotype" w:hAnsi="Palatino Linotype" w:cs="Arial"/>
        </w:rPr>
      </w:pPr>
    </w:p>
    <w:sdt>
      <w:sdtPr>
        <w:rPr>
          <w:rFonts w:ascii="Times New Roman" w:eastAsia="Arial Unicode MS" w:hAnsi="Times New Roman" w:cs="Times New Roman"/>
          <w:color w:val="auto"/>
          <w:sz w:val="24"/>
          <w:bdr w:val="nil"/>
          <w:lang w:val="es-ES" w:eastAsia="en-US"/>
        </w:rPr>
        <w:id w:val="1477801459"/>
        <w:docPartObj>
          <w:docPartGallery w:val="Table of Contents"/>
          <w:docPartUnique/>
        </w:docPartObj>
      </w:sdtPr>
      <w:sdtEndPr>
        <w:rPr>
          <w:b/>
          <w:bCs/>
        </w:rPr>
      </w:sdtEndPr>
      <w:sdtContent>
        <w:p w:rsidR="00D76183" w:rsidRDefault="00D76183" w:rsidP="00C7654F">
          <w:pPr>
            <w:pStyle w:val="TtulodeTDC"/>
            <w:rPr>
              <w:lang w:val="es-ES"/>
            </w:rPr>
          </w:pPr>
        </w:p>
        <w:p w:rsidR="00D76183" w:rsidRPr="00310096" w:rsidRDefault="00D76183" w:rsidP="00D76183">
          <w:pPr>
            <w:rPr>
              <w:lang w:val="es-ES" w:eastAsia="es-MX"/>
            </w:rPr>
          </w:pPr>
        </w:p>
        <w:p w:rsidR="00B355B6" w:rsidRDefault="00D76183">
          <w:pPr>
            <w:pStyle w:val="TDC1"/>
            <w:rPr>
              <w:rFonts w:asciiTheme="minorHAnsi" w:eastAsiaTheme="minorEastAsia" w:hAnsiTheme="minorHAnsi" w:cstheme="minorBidi"/>
              <w:b w:val="0"/>
              <w:sz w:val="22"/>
              <w:szCs w:val="22"/>
              <w:bdr w:val="none" w:sz="0" w:space="0" w:color="auto"/>
              <w:lang w:eastAsia="es-MX"/>
            </w:rPr>
          </w:pPr>
          <w:r>
            <w:fldChar w:fldCharType="begin"/>
          </w:r>
          <w:r>
            <w:instrText xml:space="preserve"> TOC \o "1-3" \h \z \u </w:instrText>
          </w:r>
          <w:r>
            <w:fldChar w:fldCharType="separate"/>
          </w:r>
          <w:hyperlink w:anchor="_Toc522537032" w:history="1">
            <w:r w:rsidR="00B355B6" w:rsidRPr="00EB3B52">
              <w:rPr>
                <w:rStyle w:val="Hipervnculo"/>
              </w:rPr>
              <w:t>Preámbulo.</w:t>
            </w:r>
            <w:r w:rsidR="00B355B6">
              <w:rPr>
                <w:webHidden/>
              </w:rPr>
              <w:tab/>
            </w:r>
            <w:r w:rsidR="00B355B6">
              <w:rPr>
                <w:webHidden/>
              </w:rPr>
              <w:fldChar w:fldCharType="begin"/>
            </w:r>
            <w:r w:rsidR="00B355B6">
              <w:rPr>
                <w:webHidden/>
              </w:rPr>
              <w:instrText xml:space="preserve"> PAGEREF _Toc522537032 \h </w:instrText>
            </w:r>
            <w:r w:rsidR="00B355B6">
              <w:rPr>
                <w:webHidden/>
              </w:rPr>
            </w:r>
            <w:r w:rsidR="00B355B6">
              <w:rPr>
                <w:webHidden/>
              </w:rPr>
              <w:fldChar w:fldCharType="separate"/>
            </w:r>
            <w:r w:rsidR="00B355B6">
              <w:rPr>
                <w:webHidden/>
              </w:rPr>
              <w:t>2</w:t>
            </w:r>
            <w:r w:rsidR="00B355B6">
              <w:rPr>
                <w:webHidden/>
              </w:rPr>
              <w:fldChar w:fldCharType="end"/>
            </w:r>
          </w:hyperlink>
        </w:p>
        <w:p w:rsidR="00B355B6" w:rsidRDefault="005C212B">
          <w:pPr>
            <w:pStyle w:val="TDC1"/>
            <w:rPr>
              <w:rFonts w:asciiTheme="minorHAnsi" w:eastAsiaTheme="minorEastAsia" w:hAnsiTheme="minorHAnsi" w:cstheme="minorBidi"/>
              <w:b w:val="0"/>
              <w:sz w:val="22"/>
              <w:szCs w:val="22"/>
              <w:bdr w:val="none" w:sz="0" w:space="0" w:color="auto"/>
              <w:lang w:eastAsia="es-MX"/>
            </w:rPr>
          </w:pPr>
          <w:hyperlink w:anchor="_Toc522537033" w:history="1">
            <w:r w:rsidR="00B355B6" w:rsidRPr="00EB3B52">
              <w:rPr>
                <w:rStyle w:val="Hipervnculo"/>
              </w:rPr>
              <w:t>II. La Litis del recurso.</w:t>
            </w:r>
            <w:r w:rsidR="00B355B6">
              <w:rPr>
                <w:webHidden/>
              </w:rPr>
              <w:tab/>
            </w:r>
            <w:r w:rsidR="00B355B6">
              <w:rPr>
                <w:webHidden/>
              </w:rPr>
              <w:fldChar w:fldCharType="begin"/>
            </w:r>
            <w:r w:rsidR="00B355B6">
              <w:rPr>
                <w:webHidden/>
              </w:rPr>
              <w:instrText xml:space="preserve"> PAGEREF _Toc522537033 \h </w:instrText>
            </w:r>
            <w:r w:rsidR="00B355B6">
              <w:rPr>
                <w:webHidden/>
              </w:rPr>
            </w:r>
            <w:r w:rsidR="00B355B6">
              <w:rPr>
                <w:webHidden/>
              </w:rPr>
              <w:fldChar w:fldCharType="separate"/>
            </w:r>
            <w:r w:rsidR="00B355B6">
              <w:rPr>
                <w:webHidden/>
              </w:rPr>
              <w:t>4</w:t>
            </w:r>
            <w:r w:rsidR="00B355B6">
              <w:rPr>
                <w:webHidden/>
              </w:rPr>
              <w:fldChar w:fldCharType="end"/>
            </w:r>
          </w:hyperlink>
        </w:p>
        <w:p w:rsidR="00B355B6" w:rsidRDefault="005C212B">
          <w:pPr>
            <w:pStyle w:val="TDC1"/>
            <w:rPr>
              <w:rFonts w:asciiTheme="minorHAnsi" w:eastAsiaTheme="minorEastAsia" w:hAnsiTheme="minorHAnsi" w:cstheme="minorBidi"/>
              <w:b w:val="0"/>
              <w:sz w:val="22"/>
              <w:szCs w:val="22"/>
              <w:bdr w:val="none" w:sz="0" w:space="0" w:color="auto"/>
              <w:lang w:eastAsia="es-MX"/>
            </w:rPr>
          </w:pPr>
          <w:hyperlink w:anchor="_Toc522537034" w:history="1">
            <w:r w:rsidR="00B355B6" w:rsidRPr="00EB3B52">
              <w:rPr>
                <w:rStyle w:val="Hipervnculo"/>
              </w:rPr>
              <w:t>III. La función de seguridad pública.</w:t>
            </w:r>
            <w:r w:rsidR="00B355B6">
              <w:rPr>
                <w:webHidden/>
              </w:rPr>
              <w:tab/>
            </w:r>
            <w:r w:rsidR="00B355B6">
              <w:rPr>
                <w:webHidden/>
              </w:rPr>
              <w:fldChar w:fldCharType="begin"/>
            </w:r>
            <w:r w:rsidR="00B355B6">
              <w:rPr>
                <w:webHidden/>
              </w:rPr>
              <w:instrText xml:space="preserve"> PAGEREF _Toc522537034 \h </w:instrText>
            </w:r>
            <w:r w:rsidR="00B355B6">
              <w:rPr>
                <w:webHidden/>
              </w:rPr>
            </w:r>
            <w:r w:rsidR="00B355B6">
              <w:rPr>
                <w:webHidden/>
              </w:rPr>
              <w:fldChar w:fldCharType="separate"/>
            </w:r>
            <w:r w:rsidR="00B355B6">
              <w:rPr>
                <w:webHidden/>
              </w:rPr>
              <w:t>5</w:t>
            </w:r>
            <w:r w:rsidR="00B355B6">
              <w:rPr>
                <w:webHidden/>
              </w:rPr>
              <w:fldChar w:fldCharType="end"/>
            </w:r>
          </w:hyperlink>
        </w:p>
        <w:p w:rsidR="00B355B6" w:rsidRDefault="005C212B">
          <w:pPr>
            <w:pStyle w:val="TDC1"/>
            <w:rPr>
              <w:rFonts w:asciiTheme="minorHAnsi" w:eastAsiaTheme="minorEastAsia" w:hAnsiTheme="minorHAnsi" w:cstheme="minorBidi"/>
              <w:b w:val="0"/>
              <w:sz w:val="22"/>
              <w:szCs w:val="22"/>
              <w:bdr w:val="none" w:sz="0" w:space="0" w:color="auto"/>
              <w:lang w:eastAsia="es-MX"/>
            </w:rPr>
          </w:pPr>
          <w:hyperlink w:anchor="_Toc522537035" w:history="1">
            <w:r w:rsidR="00B355B6" w:rsidRPr="00EB3B52">
              <w:rPr>
                <w:rStyle w:val="Hipervnculo"/>
              </w:rPr>
              <w:t>IV. La naturaleza administrativa del organismo en cuestión.</w:t>
            </w:r>
            <w:r w:rsidR="00B355B6">
              <w:rPr>
                <w:webHidden/>
              </w:rPr>
              <w:tab/>
            </w:r>
            <w:r w:rsidR="00B355B6">
              <w:rPr>
                <w:webHidden/>
              </w:rPr>
              <w:fldChar w:fldCharType="begin"/>
            </w:r>
            <w:r w:rsidR="00B355B6">
              <w:rPr>
                <w:webHidden/>
              </w:rPr>
              <w:instrText xml:space="preserve"> PAGEREF _Toc522537035 \h </w:instrText>
            </w:r>
            <w:r w:rsidR="00B355B6">
              <w:rPr>
                <w:webHidden/>
              </w:rPr>
            </w:r>
            <w:r w:rsidR="00B355B6">
              <w:rPr>
                <w:webHidden/>
              </w:rPr>
              <w:fldChar w:fldCharType="separate"/>
            </w:r>
            <w:r w:rsidR="00B355B6">
              <w:rPr>
                <w:webHidden/>
              </w:rPr>
              <w:t>6</w:t>
            </w:r>
            <w:r w:rsidR="00B355B6">
              <w:rPr>
                <w:webHidden/>
              </w:rPr>
              <w:fldChar w:fldCharType="end"/>
            </w:r>
          </w:hyperlink>
        </w:p>
        <w:p w:rsidR="00B355B6" w:rsidRDefault="005C212B">
          <w:pPr>
            <w:pStyle w:val="TDC1"/>
            <w:rPr>
              <w:rFonts w:asciiTheme="minorHAnsi" w:eastAsiaTheme="minorEastAsia" w:hAnsiTheme="minorHAnsi" w:cstheme="minorBidi"/>
              <w:b w:val="0"/>
              <w:sz w:val="22"/>
              <w:szCs w:val="22"/>
              <w:bdr w:val="none" w:sz="0" w:space="0" w:color="auto"/>
              <w:lang w:eastAsia="es-MX"/>
            </w:rPr>
          </w:pPr>
          <w:hyperlink w:anchor="_Toc522537036" w:history="1">
            <w:r w:rsidR="00B355B6" w:rsidRPr="00EB3B52">
              <w:rPr>
                <w:rStyle w:val="Hipervnculo"/>
              </w:rPr>
              <w:t>V. La relación jurídica que existe entre la Secretaría de Seguridad y los Cuerpos de Seguridad Auxiliares del Estado de México.</w:t>
            </w:r>
            <w:r w:rsidR="00B355B6">
              <w:rPr>
                <w:webHidden/>
              </w:rPr>
              <w:tab/>
            </w:r>
            <w:r w:rsidR="00B355B6">
              <w:rPr>
                <w:webHidden/>
              </w:rPr>
              <w:fldChar w:fldCharType="begin"/>
            </w:r>
            <w:r w:rsidR="00B355B6">
              <w:rPr>
                <w:webHidden/>
              </w:rPr>
              <w:instrText xml:space="preserve"> PAGEREF _Toc522537036 \h </w:instrText>
            </w:r>
            <w:r w:rsidR="00B355B6">
              <w:rPr>
                <w:webHidden/>
              </w:rPr>
            </w:r>
            <w:r w:rsidR="00B355B6">
              <w:rPr>
                <w:webHidden/>
              </w:rPr>
              <w:fldChar w:fldCharType="separate"/>
            </w:r>
            <w:r w:rsidR="00B355B6">
              <w:rPr>
                <w:webHidden/>
              </w:rPr>
              <w:t>9</w:t>
            </w:r>
            <w:r w:rsidR="00B355B6">
              <w:rPr>
                <w:webHidden/>
              </w:rPr>
              <w:fldChar w:fldCharType="end"/>
            </w:r>
          </w:hyperlink>
        </w:p>
        <w:p w:rsidR="00B355B6" w:rsidRDefault="005C212B">
          <w:pPr>
            <w:pStyle w:val="TDC1"/>
            <w:rPr>
              <w:rFonts w:asciiTheme="minorHAnsi" w:eastAsiaTheme="minorEastAsia" w:hAnsiTheme="minorHAnsi" w:cstheme="minorBidi"/>
              <w:b w:val="0"/>
              <w:sz w:val="22"/>
              <w:szCs w:val="22"/>
              <w:bdr w:val="none" w:sz="0" w:space="0" w:color="auto"/>
              <w:lang w:eastAsia="es-MX"/>
            </w:rPr>
          </w:pPr>
          <w:hyperlink w:anchor="_Toc522537037" w:history="1">
            <w:r w:rsidR="00B355B6" w:rsidRPr="00EB3B52">
              <w:rPr>
                <w:rStyle w:val="Hipervnculo"/>
              </w:rPr>
              <w:t>VII. Conclusión.</w:t>
            </w:r>
            <w:r w:rsidR="00B355B6">
              <w:rPr>
                <w:webHidden/>
              </w:rPr>
              <w:tab/>
            </w:r>
            <w:r w:rsidR="00B355B6">
              <w:rPr>
                <w:webHidden/>
              </w:rPr>
              <w:fldChar w:fldCharType="begin"/>
            </w:r>
            <w:r w:rsidR="00B355B6">
              <w:rPr>
                <w:webHidden/>
              </w:rPr>
              <w:instrText xml:space="preserve"> PAGEREF _Toc522537037 \h </w:instrText>
            </w:r>
            <w:r w:rsidR="00B355B6">
              <w:rPr>
                <w:webHidden/>
              </w:rPr>
            </w:r>
            <w:r w:rsidR="00B355B6">
              <w:rPr>
                <w:webHidden/>
              </w:rPr>
              <w:fldChar w:fldCharType="separate"/>
            </w:r>
            <w:r w:rsidR="00B355B6">
              <w:rPr>
                <w:webHidden/>
              </w:rPr>
              <w:t>20</w:t>
            </w:r>
            <w:r w:rsidR="00B355B6">
              <w:rPr>
                <w:webHidden/>
              </w:rPr>
              <w:fldChar w:fldCharType="end"/>
            </w:r>
          </w:hyperlink>
        </w:p>
        <w:p w:rsidR="0089349F" w:rsidRPr="0089349F" w:rsidRDefault="00D76183" w:rsidP="0089349F">
          <w:pPr>
            <w:spacing w:after="160" w:line="259" w:lineRule="auto"/>
            <w:rPr>
              <w:rFonts w:asciiTheme="minorHAnsi" w:hAnsiTheme="minorHAnsi" w:cstheme="minorBidi"/>
              <w:sz w:val="22"/>
              <w:szCs w:val="22"/>
            </w:rPr>
          </w:pPr>
          <w:r>
            <w:rPr>
              <w:b/>
              <w:bCs/>
              <w:lang w:val="es-ES"/>
            </w:rPr>
            <w:fldChar w:fldCharType="end"/>
          </w:r>
        </w:p>
      </w:sdtContent>
    </w:sdt>
    <w:p w:rsidR="00B355B6" w:rsidRDefault="00B355B6" w:rsidP="00B355B6"/>
    <w:p w:rsidR="00D76183" w:rsidRPr="00310096" w:rsidRDefault="00D76183" w:rsidP="00C7654F">
      <w:pPr>
        <w:pStyle w:val="Ttulo1"/>
      </w:pPr>
      <w:bookmarkStart w:id="0" w:name="_Toc522537032"/>
      <w:r w:rsidRPr="00310096">
        <w:t>Preámbulo.</w:t>
      </w:r>
      <w:bookmarkEnd w:id="0"/>
    </w:p>
    <w:p w:rsidR="00D76183" w:rsidRPr="006D678F" w:rsidRDefault="00D76183" w:rsidP="00D76183">
      <w:pPr>
        <w:pStyle w:val="Prrafodelista"/>
        <w:spacing w:line="360" w:lineRule="auto"/>
        <w:ind w:left="1080"/>
        <w:jc w:val="both"/>
        <w:rPr>
          <w:rFonts w:ascii="Palatino Linotype" w:hAnsi="Palatino Linotype" w:cs="Arial"/>
        </w:rPr>
      </w:pPr>
    </w:p>
    <w:p w:rsidR="00D76183" w:rsidRPr="00F947E8"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eastAsia="Times New Roman" w:hAnsi="Palatino Linotype" w:cs="Arial"/>
          <w:lang w:val="es-ES_tradnl"/>
        </w:rPr>
        <w:t xml:space="preserve">Durante la discusión y desahogo del recurso de revisión </w:t>
      </w:r>
      <w:r>
        <w:rPr>
          <w:rFonts w:ascii="Palatino Linotype" w:eastAsia="Times New Roman" w:hAnsi="Palatino Linotype" w:cs="Arial"/>
          <w:lang w:val="es-ES_tradnl"/>
        </w:rPr>
        <w:t>en cuestión</w:t>
      </w:r>
      <w:r w:rsidRPr="00826999">
        <w:rPr>
          <w:rFonts w:ascii="Palatino Linotype" w:eastAsia="Times New Roman" w:hAnsi="Palatino Linotype" w:cs="Arial"/>
          <w:lang w:val="es-ES_tradnl"/>
        </w:rPr>
        <w:t xml:space="preserve"> </w:t>
      </w:r>
      <w:r>
        <w:rPr>
          <w:rFonts w:ascii="Palatino Linotype" w:eastAsia="Times New Roman" w:hAnsi="Palatino Linotype" w:cs="Arial"/>
          <w:lang w:val="es-ES_tradnl"/>
        </w:rPr>
        <w:t>manifesté que me apartaba del sentido y la</w:t>
      </w:r>
      <w:r w:rsidRPr="00F947E8">
        <w:rPr>
          <w:rFonts w:ascii="Palatino Linotype" w:eastAsia="Times New Roman" w:hAnsi="Palatino Linotype" w:cs="Arial"/>
          <w:lang w:val="es-ES_tradnl"/>
        </w:rPr>
        <w:t xml:space="preserve">s consideraciones </w:t>
      </w:r>
      <w:r>
        <w:rPr>
          <w:rFonts w:ascii="Palatino Linotype" w:eastAsia="Times New Roman" w:hAnsi="Palatino Linotype" w:cs="Arial"/>
          <w:lang w:val="es-ES_tradnl"/>
        </w:rPr>
        <w:t xml:space="preserve">de la resolución, </w:t>
      </w:r>
      <w:r w:rsidRPr="00F947E8">
        <w:rPr>
          <w:rFonts w:ascii="Palatino Linotype" w:eastAsia="Times New Roman" w:hAnsi="Palatino Linotype" w:cs="Arial"/>
          <w:lang w:val="es-ES_tradnl"/>
        </w:rPr>
        <w:t xml:space="preserve">anunciando el presente voto disidente de esta resolución emitida </w:t>
      </w:r>
      <w:r w:rsidRPr="00F947E8">
        <w:rPr>
          <w:rFonts w:ascii="Palatino Linotype" w:hAnsi="Palatino Linotype" w:cs="Arial"/>
        </w:rPr>
        <w:t xml:space="preserve">por </w:t>
      </w:r>
      <w:r>
        <w:rPr>
          <w:rFonts w:ascii="Palatino Linotype" w:hAnsi="Palatino Linotype" w:cs="Arial"/>
        </w:rPr>
        <w:t>la mayoría d</w:t>
      </w:r>
      <w:r w:rsidRPr="00F947E8">
        <w:rPr>
          <w:rFonts w:ascii="Palatino Linotype" w:hAnsi="Palatino Linotype" w:cs="Arial"/>
        </w:rPr>
        <w:t xml:space="preserve">el Pleno del Instituto de Transparencia, Acceso a la Información Pública y Protección de Datos Personales del Estado de México y Municipios, en su sesión </w:t>
      </w:r>
      <w:r w:rsidR="00075DCE">
        <w:rPr>
          <w:rFonts w:ascii="Palatino Linotype" w:hAnsi="Palatino Linotype" w:cs="Arial"/>
        </w:rPr>
        <w:t>vigésimo novena</w:t>
      </w:r>
      <w:r>
        <w:rPr>
          <w:rFonts w:ascii="Palatino Linotype" w:hAnsi="Palatino Linotype" w:cs="Arial"/>
        </w:rPr>
        <w:t xml:space="preserve"> </w:t>
      </w:r>
      <w:r w:rsidRPr="00F947E8">
        <w:rPr>
          <w:rFonts w:ascii="Palatino Linotype" w:hAnsi="Palatino Linotype" w:cs="Arial"/>
        </w:rPr>
        <w:t>del (</w:t>
      </w:r>
      <w:r w:rsidR="00075DCE">
        <w:rPr>
          <w:rFonts w:ascii="Palatino Linotype" w:hAnsi="Palatino Linotype" w:cs="Arial"/>
        </w:rPr>
        <w:t>15</w:t>
      </w:r>
      <w:r w:rsidRPr="00F947E8">
        <w:rPr>
          <w:rFonts w:ascii="Palatino Linotype" w:hAnsi="Palatino Linotype" w:cs="Arial"/>
        </w:rPr>
        <w:t xml:space="preserve">) </w:t>
      </w:r>
      <w:r w:rsidR="00075DCE">
        <w:rPr>
          <w:rFonts w:ascii="Palatino Linotype" w:hAnsi="Palatino Linotype" w:cs="Arial"/>
        </w:rPr>
        <w:t xml:space="preserve">quince </w:t>
      </w:r>
      <w:r w:rsidRPr="00F947E8">
        <w:rPr>
          <w:rFonts w:ascii="Palatino Linotype" w:hAnsi="Palatino Linotype" w:cs="Arial"/>
        </w:rPr>
        <w:t xml:space="preserve">de </w:t>
      </w:r>
      <w:r w:rsidR="00191D5F">
        <w:rPr>
          <w:rFonts w:ascii="Palatino Linotype" w:hAnsi="Palatino Linotype" w:cs="Arial"/>
        </w:rPr>
        <w:t xml:space="preserve">agosto </w:t>
      </w:r>
      <w:r w:rsidRPr="00F947E8">
        <w:rPr>
          <w:rFonts w:ascii="Palatino Linotype" w:hAnsi="Palatino Linotype" w:cs="Arial"/>
        </w:rPr>
        <w:t xml:space="preserve">del año en curso, en el recurso promovido por </w:t>
      </w:r>
      <w:proofErr w:type="spellStart"/>
      <w:r w:rsidR="00504BED">
        <w:rPr>
          <w:rFonts w:ascii="Palatino Linotype" w:hAnsi="Palatino Linotype" w:cs="Arial"/>
          <w:b/>
        </w:rPr>
        <w:t>xxxxxxxxxxxxx</w:t>
      </w:r>
      <w:proofErr w:type="spellEnd"/>
      <w:r w:rsidRPr="00F947E8">
        <w:rPr>
          <w:rFonts w:ascii="Palatino Linotype" w:hAnsi="Palatino Linotype" w:cs="Arial"/>
        </w:rPr>
        <w:t xml:space="preserve">, </w:t>
      </w:r>
      <w:r w:rsidRPr="00F947E8">
        <w:rPr>
          <w:rFonts w:ascii="Palatino Linotype" w:hAnsi="Palatino Linotype" w:cs="Arial"/>
        </w:rPr>
        <w:lastRenderedPageBreak/>
        <w:t xml:space="preserve">en contra de la respuesta de la </w:t>
      </w:r>
      <w:r w:rsidR="00191D5F">
        <w:rPr>
          <w:rFonts w:ascii="Palatino Linotype" w:hAnsi="Palatino Linotype" w:cs="Arial"/>
          <w:b/>
        </w:rPr>
        <w:t>Secretaría de Seguridad</w:t>
      </w:r>
      <w:r w:rsidRPr="00F947E8">
        <w:rPr>
          <w:rFonts w:ascii="Palatino Linotype" w:hAnsi="Palatino Linotype" w:cs="Arial"/>
        </w:rPr>
        <w:t xml:space="preserve">, procedimiento al que se le asignó el número de expediente </w:t>
      </w:r>
      <w:r w:rsidR="00191D5F">
        <w:rPr>
          <w:rFonts w:ascii="Palatino Linotype" w:hAnsi="Palatino Linotype" w:cs="Arial"/>
          <w:bCs/>
        </w:rPr>
        <w:t>02140</w:t>
      </w:r>
      <w:r w:rsidRPr="00F947E8">
        <w:rPr>
          <w:rFonts w:ascii="Palatino Linotype" w:hAnsi="Palatino Linotype" w:cs="Arial"/>
          <w:bCs/>
        </w:rPr>
        <w:t>/INFOEM/IP/RR/201</w:t>
      </w:r>
      <w:r w:rsidR="00075DCE">
        <w:rPr>
          <w:rFonts w:ascii="Palatino Linotype" w:hAnsi="Palatino Linotype" w:cs="Arial"/>
          <w:bCs/>
        </w:rPr>
        <w:t>8</w:t>
      </w:r>
      <w:r w:rsidRPr="00F947E8">
        <w:rPr>
          <w:rFonts w:ascii="Palatino Linotype" w:hAnsi="Palatino Linotype" w:cs="Arial"/>
        </w:rPr>
        <w:t>.</w:t>
      </w:r>
    </w:p>
    <w:p w:rsidR="00D76183" w:rsidRPr="00826999" w:rsidRDefault="00D76183" w:rsidP="00D76183">
      <w:pPr>
        <w:pStyle w:val="Prrafodelista"/>
        <w:spacing w:line="360" w:lineRule="auto"/>
        <w:ind w:left="426"/>
        <w:jc w:val="both"/>
        <w:rPr>
          <w:rFonts w:ascii="Palatino Linotype" w:hAnsi="Palatino Linotype" w:cs="Arial"/>
        </w:rPr>
      </w:pPr>
    </w:p>
    <w:p w:rsidR="001355C7" w:rsidRPr="001355C7" w:rsidRDefault="00D76183" w:rsidP="001355C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sidRPr="00826999">
        <w:rPr>
          <w:rFonts w:ascii="Palatino Linotype" w:hAnsi="Palatino Linotype" w:cs="Arial"/>
        </w:rPr>
        <w:t xml:space="preserve">La resolución </w:t>
      </w:r>
      <w:r>
        <w:rPr>
          <w:rFonts w:ascii="Palatino Linotype" w:hAnsi="Palatino Linotype" w:cs="Arial"/>
        </w:rPr>
        <w:t>aprobada determinó</w:t>
      </w:r>
      <w:r w:rsidRPr="00826999">
        <w:rPr>
          <w:rFonts w:ascii="Palatino Linotype" w:hAnsi="Palatino Linotype" w:cs="Arial"/>
        </w:rPr>
        <w:t xml:space="preserve"> </w:t>
      </w:r>
      <w:r w:rsidR="00191D5F" w:rsidRPr="00191D5F">
        <w:rPr>
          <w:rFonts w:ascii="Palatino Linotype" w:hAnsi="Palatino Linotype" w:cs="Arial"/>
        </w:rPr>
        <w:t>CONFIRMAR</w:t>
      </w:r>
      <w:r w:rsidR="001355C7">
        <w:rPr>
          <w:rFonts w:ascii="Palatino Linotype" w:hAnsi="Palatino Linotype" w:cs="Arial"/>
        </w:rPr>
        <w:t xml:space="preserve"> </w:t>
      </w:r>
      <w:r w:rsidR="00191D5F">
        <w:rPr>
          <w:rFonts w:ascii="Palatino Linotype" w:hAnsi="Palatino Linotype" w:cs="Arial"/>
        </w:rPr>
        <w:t>la respuesta del Sujeto Obligado</w:t>
      </w:r>
      <w:r w:rsidR="001355C7">
        <w:rPr>
          <w:rFonts w:ascii="Palatino Linotype" w:hAnsi="Palatino Linotype" w:cs="Arial"/>
        </w:rPr>
        <w:t>, por los motivos y fundamentos señ</w:t>
      </w:r>
      <w:r w:rsidR="00DA3782">
        <w:rPr>
          <w:rFonts w:ascii="Palatino Linotype" w:hAnsi="Palatino Linotype" w:cs="Arial"/>
        </w:rPr>
        <w:t>alados en el considerando CUARTO</w:t>
      </w:r>
      <w:r w:rsidR="001355C7">
        <w:rPr>
          <w:rFonts w:ascii="Palatino Linotype" w:hAnsi="Palatino Linotype" w:cs="Arial"/>
        </w:rPr>
        <w:t xml:space="preserve"> de la resolución.</w:t>
      </w:r>
    </w:p>
    <w:p w:rsidR="00D76183" w:rsidRPr="001355C7" w:rsidRDefault="001355C7" w:rsidP="001355C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imes New Roman" w:hAnsi="Palatino Linotype" w:cs="Arial"/>
        </w:rPr>
      </w:pPr>
      <w:r w:rsidRPr="001355C7">
        <w:rPr>
          <w:rFonts w:ascii="Palatino Linotype" w:eastAsia="Times New Roman" w:hAnsi="Palatino Linotype" w:cs="Arial"/>
        </w:rPr>
        <w:t xml:space="preserve"> </w:t>
      </w:r>
    </w:p>
    <w:p w:rsidR="00D76183" w:rsidRPr="00826999"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hAnsi="Palatino Linotype" w:cs="Arial"/>
        </w:rPr>
        <w:t xml:space="preserve">Mi voto disidente se explica en razón de que </w:t>
      </w:r>
      <w:r>
        <w:rPr>
          <w:rFonts w:ascii="Palatino Linotype" w:hAnsi="Palatino Linotype" w:cs="Arial"/>
        </w:rPr>
        <w:t xml:space="preserve">la respuesta refiere la imposibilidad de proporcionar la documentación requerida en razón de que </w:t>
      </w:r>
      <w:r w:rsidR="00BF450C">
        <w:rPr>
          <w:rFonts w:ascii="Palatino Linotype" w:hAnsi="Palatino Linotype" w:cs="Arial"/>
        </w:rPr>
        <w:t xml:space="preserve">solo existe una coordinación estrictamente de carácter operativo en situaciones de emergencia, desastre o cuando fuese necesario en apoyo de la seguridad pública, en razón de que </w:t>
      </w:r>
      <w:r>
        <w:rPr>
          <w:rFonts w:ascii="Palatino Linotype" w:hAnsi="Palatino Linotype" w:cs="Arial"/>
        </w:rPr>
        <w:t>los Cuerpos de Seguridad Auxiliar del Estado de México</w:t>
      </w:r>
      <w:r w:rsidR="00BF450C">
        <w:rPr>
          <w:rFonts w:ascii="Palatino Linotype" w:hAnsi="Palatino Linotype" w:cs="Arial"/>
        </w:rPr>
        <w:t xml:space="preserve"> no dependen </w:t>
      </w:r>
      <w:r w:rsidR="00443667">
        <w:rPr>
          <w:rFonts w:ascii="Palatino Linotype" w:hAnsi="Palatino Linotype" w:cs="Arial"/>
        </w:rPr>
        <w:t>orgánica</w:t>
      </w:r>
      <w:r w:rsidR="00BF450C">
        <w:rPr>
          <w:rFonts w:ascii="Palatino Linotype" w:hAnsi="Palatino Linotype" w:cs="Arial"/>
        </w:rPr>
        <w:t xml:space="preserve">, presupuestal, programática, ni administrativamente del </w:t>
      </w:r>
      <w:r w:rsidRPr="002B5480">
        <w:rPr>
          <w:rFonts w:ascii="Palatino Linotype" w:hAnsi="Palatino Linotype" w:cs="Arial"/>
          <w:b/>
        </w:rPr>
        <w:t>SUJETO OBLIGADO</w:t>
      </w:r>
      <w:r>
        <w:rPr>
          <w:rFonts w:ascii="Palatino Linotype" w:hAnsi="Palatino Linotype" w:cs="Arial"/>
        </w:rPr>
        <w:t>,</w:t>
      </w:r>
      <w:r w:rsidRPr="00826999">
        <w:rPr>
          <w:rFonts w:ascii="Palatino Linotype" w:hAnsi="Palatino Linotype" w:cs="Arial"/>
        </w:rPr>
        <w:t xml:space="preserve"> </w:t>
      </w:r>
      <w:r>
        <w:rPr>
          <w:rFonts w:ascii="Palatino Linotype" w:hAnsi="Palatino Linotype" w:cs="Arial"/>
        </w:rPr>
        <w:t xml:space="preserve">razonamiento que no comparto toda vez que existen claras atribuciones de control y supervisión de la autoridad sobre dicho organismo, </w:t>
      </w:r>
      <w:r w:rsidRPr="00826999">
        <w:rPr>
          <w:rFonts w:ascii="Palatino Linotype" w:hAnsi="Palatino Linotype" w:cs="Arial"/>
        </w:rPr>
        <w:t xml:space="preserve">lo cual me permite apreciar, a diferencia de la opinión de la mayoría, que el señor </w:t>
      </w:r>
      <w:proofErr w:type="spellStart"/>
      <w:r w:rsidR="00EF1C34">
        <w:rPr>
          <w:rFonts w:ascii="Palatino Linotype" w:hAnsi="Palatino Linotype" w:cs="Arial"/>
          <w:b/>
        </w:rPr>
        <w:t>xxxxxx</w:t>
      </w:r>
      <w:proofErr w:type="spellEnd"/>
      <w:r w:rsidR="00EF1C34">
        <w:rPr>
          <w:rFonts w:ascii="Palatino Linotype" w:hAnsi="Palatino Linotype" w:cs="Arial"/>
          <w:b/>
        </w:rPr>
        <w:t xml:space="preserve"> </w:t>
      </w:r>
      <w:r w:rsidRPr="00826999">
        <w:rPr>
          <w:rFonts w:ascii="Palatino Linotype" w:hAnsi="Palatino Linotype" w:cs="Arial"/>
        </w:rPr>
        <w:t xml:space="preserve"> debería acceder a la información solicitada </w:t>
      </w:r>
      <w:r>
        <w:rPr>
          <w:rFonts w:ascii="Palatino Linotype" w:hAnsi="Palatino Linotype" w:cs="Arial"/>
        </w:rPr>
        <w:t>como se precisa en el cuerpo del presente escrito</w:t>
      </w:r>
      <w:r w:rsidRPr="00D41242">
        <w:rPr>
          <w:rFonts w:ascii="Palatino Linotype" w:hAnsi="Palatino Linotype" w:cs="Arial"/>
          <w:b/>
        </w:rPr>
        <w:t>.</w:t>
      </w:r>
      <w:r w:rsidRPr="00826999">
        <w:rPr>
          <w:rFonts w:ascii="Palatino Linotype" w:hAnsi="Palatino Linotype" w:cs="Arial"/>
        </w:rPr>
        <w:t xml:space="preserve">  </w:t>
      </w:r>
    </w:p>
    <w:p w:rsidR="00D76183" w:rsidRPr="00826999" w:rsidRDefault="00D76183" w:rsidP="00D76183">
      <w:pPr>
        <w:spacing w:line="360" w:lineRule="auto"/>
        <w:jc w:val="both"/>
        <w:rPr>
          <w:rFonts w:ascii="Palatino Linotype" w:hAnsi="Palatino Linotype" w:cs="Arial"/>
        </w:rPr>
      </w:pPr>
    </w:p>
    <w:p w:rsidR="00D76183" w:rsidRPr="00826999"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hAnsi="Palatino Linotype" w:cs="Arial"/>
        </w:rPr>
        <w:t xml:space="preserve">Por tal motivo y en términos de lo señalado por </w:t>
      </w:r>
      <w:r w:rsidR="001355C7">
        <w:rPr>
          <w:rFonts w:ascii="Palatino Linotype" w:hAnsi="Palatino Linotype" w:cs="Arial"/>
        </w:rPr>
        <w:t>en el artículo 14 fracción XI</w:t>
      </w:r>
      <w:r w:rsidRPr="00826999">
        <w:rPr>
          <w:rFonts w:ascii="Palatino Linotype" w:hAnsi="Palatino Linotype" w:cs="Arial"/>
        </w:rPr>
        <w:t xml:space="preserve"> del </w:t>
      </w:r>
      <w:r w:rsidRPr="00D41242">
        <w:rPr>
          <w:rFonts w:ascii="Palatino Linotype" w:hAnsi="Palatino Linotype" w:cs="Arial"/>
          <w:b/>
        </w:rPr>
        <w:t>Reglamento Interior del Instituto de Transparencia y Acceso a la Información Pública del Estado de México y Municipios</w:t>
      </w:r>
      <w:r w:rsidRPr="00826999">
        <w:rPr>
          <w:rFonts w:ascii="Palatino Linotype" w:hAnsi="Palatino Linotype" w:cs="Arial"/>
        </w:rPr>
        <w:t xml:space="preserve"> formulo el presente voto disidente. </w:t>
      </w:r>
    </w:p>
    <w:p w:rsidR="00D76183" w:rsidRPr="00C7654F" w:rsidRDefault="00D76183" w:rsidP="00D76183">
      <w:pPr>
        <w:pStyle w:val="Prrafodelista"/>
        <w:spacing w:line="360" w:lineRule="auto"/>
        <w:ind w:left="142"/>
        <w:rPr>
          <w:rFonts w:ascii="Palatino Linotype" w:hAnsi="Palatino Linotype" w:cs="Arial"/>
          <w:b/>
        </w:rPr>
      </w:pPr>
    </w:p>
    <w:p w:rsidR="00D76183" w:rsidRPr="00C7654F" w:rsidRDefault="00D76183" w:rsidP="00C7654F">
      <w:pPr>
        <w:pStyle w:val="Ttulo1"/>
      </w:pPr>
      <w:bookmarkStart w:id="1" w:name="_Toc522537033"/>
      <w:r w:rsidRPr="00C7654F">
        <w:t>II. La Litis del recurso.</w:t>
      </w:r>
      <w:bookmarkEnd w:id="1"/>
    </w:p>
    <w:p w:rsidR="00D76183" w:rsidRPr="00310096" w:rsidRDefault="00D76183" w:rsidP="00D76183"/>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4D2641">
        <w:rPr>
          <w:rFonts w:ascii="Palatino Linotype" w:hAnsi="Palatino Linotype" w:cs="Arial"/>
        </w:rPr>
        <w:t xml:space="preserve">Advirtiendo que la respuesta del </w:t>
      </w:r>
      <w:r>
        <w:rPr>
          <w:rFonts w:ascii="Palatino Linotype" w:eastAsia="Calibri" w:hAnsi="Palatino Linotype"/>
          <w:b/>
          <w:lang w:val="es-ES" w:eastAsia="es-ES"/>
        </w:rPr>
        <w:t>SUJETO OBLIGADO</w:t>
      </w:r>
      <w:r w:rsidRPr="004D2641">
        <w:rPr>
          <w:rFonts w:ascii="Palatino Linotype" w:hAnsi="Palatino Linotype" w:cs="Arial"/>
        </w:rPr>
        <w:t xml:space="preserve"> consistió en señalar que no existe una dependencia orgánica, presupuestal ni administrativa entre éste y los Cuerpos de Seguridad Auxiliares del Estado de México y que </w:t>
      </w:r>
      <w:proofErr w:type="spellStart"/>
      <w:r w:rsidR="00EF1C34">
        <w:rPr>
          <w:rFonts w:ascii="Palatino Linotype" w:hAnsi="Palatino Linotype" w:cs="Arial"/>
          <w:b/>
        </w:rPr>
        <w:t>xxxxxx</w:t>
      </w:r>
      <w:proofErr w:type="spellEnd"/>
      <w:r w:rsidR="004B1E60">
        <w:rPr>
          <w:rFonts w:ascii="Palatino Linotype" w:hAnsi="Palatino Linotype" w:cs="Arial"/>
          <w:b/>
        </w:rPr>
        <w:t xml:space="preserve"> </w:t>
      </w:r>
      <w:r w:rsidR="004B1E60">
        <w:rPr>
          <w:rFonts w:ascii="Palatino Linotype" w:hAnsi="Palatino Linotype" w:cs="Arial"/>
        </w:rPr>
        <w:t xml:space="preserve">solicitó: </w:t>
      </w:r>
      <w:r w:rsidR="004B1E60" w:rsidRPr="00B95D56">
        <w:rPr>
          <w:rFonts w:ascii="Palatino Linotype" w:hAnsi="Palatino Linotype"/>
          <w:i/>
          <w:color w:val="000000"/>
        </w:rPr>
        <w:t xml:space="preserve">EL LUGAR DE ADSCRIPCION DENTRO DEL CUSAEM DE LA SERVIDORA </w:t>
      </w:r>
      <w:r w:rsidR="004308B2">
        <w:rPr>
          <w:rFonts w:ascii="Palatino Linotype" w:hAnsi="Palatino Linotype"/>
          <w:i/>
          <w:color w:val="FF0000"/>
        </w:rPr>
        <w:t>xxxxxxxxxxxxxxx</w:t>
      </w:r>
      <w:bookmarkStart w:id="2" w:name="_GoBack"/>
      <w:bookmarkEnd w:id="2"/>
      <w:r w:rsidR="004B1E60" w:rsidRPr="00B95D56">
        <w:rPr>
          <w:rFonts w:ascii="Palatino Linotype" w:hAnsi="Palatino Linotype"/>
          <w:i/>
          <w:color w:val="000000"/>
        </w:rPr>
        <w:t>, ADEMÁS PROPORCIONES SU SALARIO MENSUAL, LISTA DE ASISTENCIA DE LOS ULTIMOS DOS MESES EN EL QUE APAREZCA SU NOMBRE, NUMERO DE EMPLEADO, FECHA DE INGRESO, HORARIO DE TRABAJO, ÁREA A LA QUE SE ENCUENTRA ASIGNADA Y DE SER EL CASO, COPIA DE SU MANIFESTACIÓN DE BIENES</w:t>
      </w:r>
      <w:r w:rsidR="004B1E60">
        <w:rPr>
          <w:rFonts w:ascii="Palatino Linotype" w:hAnsi="Palatino Linotype"/>
          <w:i/>
          <w:color w:val="000000"/>
        </w:rPr>
        <w:t>”</w:t>
      </w:r>
      <w:r w:rsidR="004B1E60">
        <w:rPr>
          <w:rFonts w:ascii="Palatino Linotype" w:hAnsi="Palatino Linotype"/>
          <w:i/>
          <w:lang w:val="es-ES_tradnl"/>
        </w:rPr>
        <w:t>.</w:t>
      </w:r>
      <w:r w:rsidRPr="00AD53AB">
        <w:rPr>
          <w:rFonts w:ascii="Palatino Linotype" w:hAnsi="Palatino Linotype" w:cs="Arial"/>
          <w:b/>
        </w:rPr>
        <w:t xml:space="preserve"> </w:t>
      </w:r>
    </w:p>
    <w:p w:rsidR="00D76183" w:rsidRDefault="00D76183" w:rsidP="00D76183">
      <w:pPr>
        <w:pStyle w:val="Prrafodelista"/>
        <w:spacing w:line="360" w:lineRule="auto"/>
        <w:ind w:left="142"/>
        <w:jc w:val="both"/>
        <w:rPr>
          <w:rFonts w:ascii="Palatino Linotype" w:hAnsi="Palatino Linotype" w:cs="Arial"/>
        </w:rPr>
      </w:pPr>
    </w:p>
    <w:p w:rsidR="00D76183" w:rsidRPr="00CD721E"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En dichas condiciones, la</w:t>
      </w:r>
      <w:r w:rsidRPr="006D678F">
        <w:rPr>
          <w:rFonts w:ascii="Palatino Linotype" w:hAnsi="Palatino Linotype" w:cs="Arial"/>
          <w:b/>
          <w:i/>
        </w:rPr>
        <w:t xml:space="preserve"> </w:t>
      </w:r>
      <w:proofErr w:type="spellStart"/>
      <w:r w:rsidRPr="006D678F">
        <w:rPr>
          <w:rFonts w:ascii="Palatino Linotype" w:hAnsi="Palatino Linotype" w:cs="Arial"/>
          <w:b/>
          <w:i/>
        </w:rPr>
        <w:t>litis</w:t>
      </w:r>
      <w:proofErr w:type="spellEnd"/>
      <w:r>
        <w:rPr>
          <w:rFonts w:ascii="Palatino Linotype" w:hAnsi="Palatino Linotype" w:cs="Arial"/>
        </w:rPr>
        <w:t xml:space="preserve"> que debió de</w:t>
      </w:r>
      <w:r w:rsidRPr="006D678F">
        <w:rPr>
          <w:rFonts w:ascii="Palatino Linotype" w:hAnsi="Palatino Linotype" w:cs="Arial"/>
        </w:rPr>
        <w:t xml:space="preserve"> resolver</w:t>
      </w:r>
      <w:r>
        <w:rPr>
          <w:rFonts w:ascii="Palatino Linotype" w:hAnsi="Palatino Linotype" w:cs="Arial"/>
        </w:rPr>
        <w:t>se</w:t>
      </w:r>
      <w:r w:rsidRPr="006D678F">
        <w:rPr>
          <w:rFonts w:ascii="Palatino Linotype" w:hAnsi="Palatino Linotype" w:cs="Arial"/>
        </w:rPr>
        <w:t xml:space="preserve"> </w:t>
      </w:r>
      <w:r>
        <w:rPr>
          <w:rFonts w:ascii="Palatino Linotype" w:hAnsi="Palatino Linotype" w:cs="Arial"/>
        </w:rPr>
        <w:t>al analizar el</w:t>
      </w:r>
      <w:r w:rsidRPr="006D678F">
        <w:rPr>
          <w:rFonts w:ascii="Palatino Linotype" w:hAnsi="Palatino Linotype" w:cs="Arial"/>
        </w:rPr>
        <w:t xml:space="preserve"> recurso </w:t>
      </w:r>
      <w:r>
        <w:rPr>
          <w:rFonts w:ascii="Palatino Linotype" w:hAnsi="Palatino Linotype" w:cs="Arial"/>
        </w:rPr>
        <w:t>de revisión debió</w:t>
      </w:r>
      <w:r w:rsidRPr="006D678F">
        <w:rPr>
          <w:rFonts w:ascii="Palatino Linotype" w:hAnsi="Palatino Linotype" w:cs="Arial"/>
        </w:rPr>
        <w:t xml:space="preserve"> circunscrib</w:t>
      </w:r>
      <w:r>
        <w:rPr>
          <w:rFonts w:ascii="Palatino Linotype" w:hAnsi="Palatino Linotype" w:cs="Arial"/>
        </w:rPr>
        <w:t>irse</w:t>
      </w:r>
      <w:r w:rsidRPr="006D678F">
        <w:rPr>
          <w:rFonts w:ascii="Palatino Linotype" w:hAnsi="Palatino Linotype" w:cs="Arial"/>
        </w:rPr>
        <w:t xml:space="preserve"> a determinar si la respuesta, fundada en los preceptos que señal</w:t>
      </w:r>
      <w:r>
        <w:rPr>
          <w:rFonts w:ascii="Palatino Linotype" w:hAnsi="Palatino Linotype" w:cs="Arial"/>
        </w:rPr>
        <w:t xml:space="preserve">ó el </w:t>
      </w:r>
      <w:r w:rsidRPr="002B5480">
        <w:rPr>
          <w:rFonts w:ascii="Palatino Linotype" w:hAnsi="Palatino Linotype" w:cs="Arial"/>
          <w:b/>
        </w:rPr>
        <w:t>SUJETO OBLIGADO</w:t>
      </w:r>
      <w:r w:rsidRPr="006D678F">
        <w:rPr>
          <w:rFonts w:ascii="Palatino Linotype" w:hAnsi="Palatino Linotype" w:cs="Arial"/>
        </w:rPr>
        <w:t>, viola o no el derecho en cuestión</w:t>
      </w:r>
      <w:r w:rsidRPr="006D678F">
        <w:rPr>
          <w:rFonts w:ascii="Palatino Linotype" w:hAnsi="Palatino Linotype" w:cs="Arial"/>
          <w:b/>
        </w:rPr>
        <w:t>.</w:t>
      </w:r>
    </w:p>
    <w:p w:rsidR="00D76183" w:rsidRPr="00CD721E" w:rsidRDefault="00D76183" w:rsidP="00C7654F">
      <w:pPr>
        <w:pStyle w:val="Prrafodelista"/>
        <w:spacing w:line="360" w:lineRule="auto"/>
        <w:ind w:left="142"/>
        <w:jc w:val="both"/>
        <w:rPr>
          <w:rFonts w:ascii="Palatino Linotype" w:hAnsi="Palatino Linotype" w:cs="Arial"/>
        </w:rPr>
      </w:pPr>
    </w:p>
    <w:p w:rsidR="00D76183" w:rsidRPr="00C7654F" w:rsidRDefault="00D76183" w:rsidP="00C7654F">
      <w:pPr>
        <w:pStyle w:val="Ttulo1"/>
      </w:pPr>
      <w:bookmarkStart w:id="3" w:name="_Toc522537034"/>
      <w:r w:rsidRPr="00C7654F">
        <w:t>III. La función de seguridad pública.</w:t>
      </w:r>
      <w:bookmarkEnd w:id="3"/>
    </w:p>
    <w:p w:rsidR="00D76183" w:rsidRPr="00310096" w:rsidRDefault="00D76183" w:rsidP="00D76183"/>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La seguridad pública es una función a cargo de la Federación, los Estados y Municipios, según lo señalado en el noveno párrafo del artículo 21 de la Constitución Política de los Estados Unidos Mexicanos, lo que en el Estado de México es una función a cargo del Estado y los municipios según lo dispone el </w:t>
      </w:r>
      <w:r>
        <w:rPr>
          <w:rFonts w:ascii="Palatino Linotype" w:hAnsi="Palatino Linotype" w:cs="Arial"/>
        </w:rPr>
        <w:lastRenderedPageBreak/>
        <w:t>artículo 86 Bis de la Constitución Política del Estado Libre y Soberano de México y el artículo 2 de la Ley de Seguridad del Estado de México.</w:t>
      </w:r>
    </w:p>
    <w:p w:rsidR="00D76183" w:rsidRDefault="00D76183" w:rsidP="00D76183">
      <w:pPr>
        <w:pStyle w:val="Prrafodelista"/>
        <w:spacing w:line="360" w:lineRule="auto"/>
        <w:ind w:left="142"/>
        <w:jc w:val="both"/>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De acuerdo con José Antonio González Fernández para definir el concepto de seguridad pública debemos partir del deber del Estado como encargado de vigilar el orden público, garantizar la paz y la seguridad de la comunidad,</w:t>
      </w:r>
      <w:r>
        <w:rPr>
          <w:rStyle w:val="Refdenotaalpie"/>
          <w:rFonts w:ascii="Palatino Linotype" w:hAnsi="Palatino Linotype" w:cs="Arial"/>
        </w:rPr>
        <w:footnoteReference w:id="1"/>
      </w:r>
      <w:r w:rsidRPr="006D678F">
        <w:rPr>
          <w:rFonts w:ascii="Palatino Linotype" w:hAnsi="Palatino Linotype" w:cs="Arial"/>
        </w:rPr>
        <w:t xml:space="preserve"> y dicha función se relaciona con la preservación de determinados valores tutelados entre los cuales se encuentran los de la vida e integridad de las personas, sus derechos y libertades, el orden y la paz públicos.</w:t>
      </w:r>
      <w:r>
        <w:rPr>
          <w:rStyle w:val="Refdenotaalpie"/>
          <w:rFonts w:ascii="Palatino Linotype" w:hAnsi="Palatino Linotype" w:cs="Arial"/>
        </w:rPr>
        <w:footnoteReference w:id="2"/>
      </w:r>
      <w:r w:rsidRPr="006D678F">
        <w:rPr>
          <w:rFonts w:ascii="Palatino Linotype" w:hAnsi="Palatino Linotype" w:cs="Arial"/>
        </w:rPr>
        <w:t xml:space="preserve">. </w:t>
      </w:r>
    </w:p>
    <w:p w:rsidR="00D76183" w:rsidRPr="006D678F" w:rsidRDefault="00D76183" w:rsidP="00D76183">
      <w:pPr>
        <w:pStyle w:val="Prrafodelista"/>
        <w:rPr>
          <w:rFonts w:ascii="Palatino Linotype" w:hAnsi="Palatino Linotype" w:cs="Arial"/>
        </w:rPr>
      </w:pPr>
    </w:p>
    <w:p w:rsidR="00D76183" w:rsidRPr="006D678F"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En el recurso que se r</w:t>
      </w:r>
      <w:r>
        <w:rPr>
          <w:rFonts w:ascii="Palatino Linotype" w:hAnsi="Palatino Linotype" w:cs="Arial"/>
        </w:rPr>
        <w:t>e</w:t>
      </w:r>
      <w:r w:rsidRPr="006D678F">
        <w:rPr>
          <w:rFonts w:ascii="Palatino Linotype" w:hAnsi="Palatino Linotype" w:cs="Arial"/>
        </w:rPr>
        <w:t>s</w:t>
      </w:r>
      <w:r>
        <w:rPr>
          <w:rFonts w:ascii="Palatino Linotype" w:hAnsi="Palatino Linotype" w:cs="Arial"/>
        </w:rPr>
        <w:t>o</w:t>
      </w:r>
      <w:r w:rsidRPr="006D678F">
        <w:rPr>
          <w:rFonts w:ascii="Palatino Linotype" w:hAnsi="Palatino Linotype" w:cs="Arial"/>
        </w:rPr>
        <w:t>l</w:t>
      </w:r>
      <w:r>
        <w:rPr>
          <w:rFonts w:ascii="Palatino Linotype" w:hAnsi="Palatino Linotype" w:cs="Arial"/>
        </w:rPr>
        <w:t>vió</w:t>
      </w:r>
      <w:r w:rsidRPr="006D678F">
        <w:rPr>
          <w:rFonts w:ascii="Palatino Linotype" w:hAnsi="Palatino Linotype" w:cs="Arial"/>
        </w:rPr>
        <w:t xml:space="preserve">, el </w:t>
      </w:r>
      <w:r w:rsidRPr="002B5480">
        <w:rPr>
          <w:rFonts w:ascii="Palatino Linotype" w:hAnsi="Palatino Linotype" w:cs="Arial"/>
          <w:b/>
        </w:rPr>
        <w:t>SUJETO OBLIGADO</w:t>
      </w:r>
      <w:r w:rsidRPr="006D678F">
        <w:rPr>
          <w:rFonts w:ascii="Palatino Linotype" w:hAnsi="Palatino Linotype" w:cs="Arial"/>
        </w:rPr>
        <w:t xml:space="preserve"> reconoc</w:t>
      </w:r>
      <w:r>
        <w:rPr>
          <w:rFonts w:ascii="Palatino Linotype" w:hAnsi="Palatino Linotype" w:cs="Arial"/>
        </w:rPr>
        <w:t>ió</w:t>
      </w:r>
      <w:r w:rsidRPr="006D678F">
        <w:rPr>
          <w:rFonts w:ascii="Palatino Linotype" w:hAnsi="Palatino Linotype" w:cs="Arial"/>
        </w:rPr>
        <w:t xml:space="preserve"> la existencia de los denominados Cuerpos de Seguridad Auxiliares del Estado de México, cuyo régimen jurídico se desprende del artículo 103 segundo párrafo de la Ley de Seguridad del Estado, por lo tanto, se trata de un organismo a través del cual el Estado proporciona </w:t>
      </w:r>
      <w:r w:rsidRPr="006D678F">
        <w:rPr>
          <w:rFonts w:ascii="Palatino Linotype" w:hAnsi="Palatino Linotype" w:cs="Arial"/>
          <w:i/>
        </w:rPr>
        <w:t>servicios de protección, custodia, vigilancia y seguridad a</w:t>
      </w:r>
      <w:r w:rsidRPr="006D678F">
        <w:rPr>
          <w:rFonts w:ascii="Palatino Linotype" w:hAnsi="Palatino Linotype" w:cs="Arial"/>
        </w:rPr>
        <w:t xml:space="preserve">, entre otras personas, </w:t>
      </w:r>
      <w:r w:rsidRPr="006D678F">
        <w:rPr>
          <w:rFonts w:ascii="Palatino Linotype" w:hAnsi="Palatino Linotype" w:cs="Arial"/>
          <w:i/>
        </w:rPr>
        <w:t xml:space="preserve">dependencias y organismos públicos. </w:t>
      </w:r>
      <w:r w:rsidRPr="006D678F">
        <w:rPr>
          <w:rFonts w:ascii="Palatino Linotype" w:hAnsi="Palatino Linotype" w:cs="Arial"/>
        </w:rPr>
        <w:t xml:space="preserve">Dichos servicios claramente contribuyen a la preservación del orden y la paz públicos y tienden a asegurar el respeto tanto a la vida, integridad, derechos y libertades de las personas que cotidianamente acuden a las instalaciones de las dependencias públicas, tanto </w:t>
      </w:r>
      <w:r w:rsidRPr="006D678F">
        <w:rPr>
          <w:rFonts w:ascii="Palatino Linotype" w:hAnsi="Palatino Linotype" w:cs="Arial"/>
        </w:rPr>
        <w:lastRenderedPageBreak/>
        <w:t>como usuarios de servicios públicos como de los propios servidores públicos que laboran en dichas dependencias, por lo tanto, las actividades que realizan los Cuerpos de Seguridad mencionados forma</w:t>
      </w:r>
      <w:r>
        <w:rPr>
          <w:rFonts w:ascii="Palatino Linotype" w:hAnsi="Palatino Linotype" w:cs="Arial"/>
        </w:rPr>
        <w:t>n</w:t>
      </w:r>
      <w:r w:rsidRPr="006D678F">
        <w:rPr>
          <w:rFonts w:ascii="Palatino Linotype" w:hAnsi="Palatino Linotype" w:cs="Arial"/>
        </w:rPr>
        <w:t xml:space="preserve"> parte de la función general de seguridad pública</w:t>
      </w:r>
      <w:r>
        <w:rPr>
          <w:rFonts w:ascii="Palatino Linotype" w:hAnsi="Palatino Linotype" w:cs="Arial"/>
        </w:rPr>
        <w:t xml:space="preserve"> y son susceptibles de generar información pública</w:t>
      </w:r>
      <w:r w:rsidRPr="006D678F">
        <w:rPr>
          <w:rFonts w:ascii="Palatino Linotype" w:hAnsi="Palatino Linotype" w:cs="Arial"/>
        </w:rPr>
        <w:t>.</w:t>
      </w:r>
    </w:p>
    <w:p w:rsidR="00D76183" w:rsidRDefault="00D76183" w:rsidP="00C7654F">
      <w:pPr>
        <w:pStyle w:val="Ttulo1"/>
      </w:pPr>
      <w:bookmarkStart w:id="4" w:name="_Toc522537035"/>
      <w:r w:rsidRPr="00310096">
        <w:t>IV. La naturaleza administrativa del organismo en cuestión.</w:t>
      </w:r>
      <w:bookmarkEnd w:id="4"/>
      <w:r w:rsidRPr="00310096">
        <w:t xml:space="preserve"> </w:t>
      </w:r>
    </w:p>
    <w:p w:rsidR="00D76183" w:rsidRPr="00310096" w:rsidRDefault="00D76183" w:rsidP="00D76183"/>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Las actividades señaladas en la sección anterior forman parte de la función general de seguridad pública a cargo del Estado y corresponden a un grupo especial de acciones entre las cuales también se encuentran la prestación de los mismos servicios a sociedades mercantiles, asociaciones, instituciones educativas y particulares. Todas ellas tienen como común denominador el que el Estado puede proporcionar dichos servicios a través de </w:t>
      </w:r>
      <w:r w:rsidRPr="00D128AC">
        <w:rPr>
          <w:rFonts w:ascii="Palatino Linotype" w:hAnsi="Palatino Linotype" w:cs="Arial"/>
          <w:i/>
        </w:rPr>
        <w:t>organismos que se creen con base en las normas legales aplicables, en su carácter de auxiliares de la función de seguridad pública</w:t>
      </w:r>
      <w:r>
        <w:rPr>
          <w:rFonts w:ascii="Palatino Linotype" w:hAnsi="Palatino Linotype" w:cs="Arial"/>
        </w:rPr>
        <w:t xml:space="preserve"> según lo señala el segundo párrafo del artículo 103 de la Ley de Seguridad del Estado de México.</w:t>
      </w:r>
    </w:p>
    <w:p w:rsidR="00D76183" w:rsidRDefault="00D76183" w:rsidP="00D76183">
      <w:pPr>
        <w:pStyle w:val="Prrafodelista"/>
        <w:spacing w:line="360" w:lineRule="auto"/>
        <w:ind w:left="142"/>
        <w:jc w:val="both"/>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 xml:space="preserve">De lo anterior es posible deducir que quien brinda los servicios de protección, custodia, vigilancia y seguridad señalados en los dos párrafos anteriores es un particular autorizado por el Estado, argumento que tienen sustento en la propia respuesta emitida por el </w:t>
      </w:r>
      <w:r w:rsidRPr="002B5480">
        <w:rPr>
          <w:rFonts w:ascii="Palatino Linotype" w:hAnsi="Palatino Linotype" w:cs="Arial"/>
          <w:b/>
          <w:caps/>
        </w:rPr>
        <w:t>Sujeto Obligado</w:t>
      </w:r>
      <w:r w:rsidRPr="006D678F">
        <w:rPr>
          <w:rFonts w:ascii="Palatino Linotype" w:hAnsi="Palatino Linotype" w:cs="Arial"/>
        </w:rPr>
        <w:t xml:space="preserve">, en el contenido del Informe de Justificación y sus respectivos anexos, documentos de los cuales solo puede deducirse lo que la propia autoridad </w:t>
      </w:r>
      <w:r>
        <w:rPr>
          <w:rFonts w:ascii="Palatino Linotype" w:hAnsi="Palatino Linotype" w:cs="Arial"/>
        </w:rPr>
        <w:t>reitera:</w:t>
      </w:r>
      <w:r w:rsidRPr="006D678F">
        <w:rPr>
          <w:rFonts w:ascii="Palatino Linotype" w:hAnsi="Palatino Linotype" w:cs="Arial"/>
        </w:rPr>
        <w:t xml:space="preserve"> que estos organismos están integrados en su totalidad por particulares y no por servidores públicos, que no reciben </w:t>
      </w:r>
      <w:r w:rsidRPr="006D678F">
        <w:rPr>
          <w:rFonts w:ascii="Palatino Linotype" w:hAnsi="Palatino Linotype" w:cs="Arial"/>
        </w:rPr>
        <w:lastRenderedPageBreak/>
        <w:t>recursos del presupuesto público asignado a la Comisión Estatal de Seguridad Ciudadana; en consecuencia, este tipo especial de seguridad privada realiza actividades auxiliares en materia de seguridad pública.</w:t>
      </w:r>
    </w:p>
    <w:p w:rsidR="00D76183" w:rsidRPr="006D678F"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Pr="006D678F">
        <w:rPr>
          <w:rFonts w:ascii="Palatino Linotype" w:hAnsi="Palatino Linotype" w:cs="Arial"/>
        </w:rPr>
        <w:t>Pero además, y para apreciar la naturaleza jurídica del organismo en cuestión, vale la pena hacer alusión a otras disposiciones jurídicas que le resultan aplicables en razón de la actividad que desempeñan y los medios e instrumentos empleados para ello. Como ya se señaló antes, este organismo brinda servicios de protección, custodia, vigilancia y seguridad, para ello requiere del uso de armas de fuego, cuya portación se encuentra regulado en lo señalado por la Ley Federal en la materia que, en su artículo 25 precisa que existen dos clases de licencias para portar armas: las particulares y las oficiales. Las segundas destinadas a los servidores públicos que se desempeñan en las instituciones policiales y las primeras, que pueden otorgarse a personas físicas o morales, en el caso de estas últimas se requiere que estén constituidas conforme a las disposiciones jurídicas y tratándose de servicios privados de seguridad reunir con los requisitos planteados por el artículo 26 de la ley en cuestión.</w:t>
      </w:r>
    </w:p>
    <w:p w:rsidR="00D76183" w:rsidRPr="006D678F"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Pr="006D678F">
        <w:rPr>
          <w:rFonts w:ascii="Palatino Linotype" w:hAnsi="Palatino Linotype" w:cs="Arial"/>
        </w:rPr>
        <w:t xml:space="preserve">Si como </w:t>
      </w:r>
      <w:r>
        <w:rPr>
          <w:rFonts w:ascii="Palatino Linotype" w:hAnsi="Palatino Linotype" w:cs="Arial"/>
        </w:rPr>
        <w:t xml:space="preserve">ha venido </w:t>
      </w:r>
      <w:r w:rsidRPr="006D678F">
        <w:rPr>
          <w:rFonts w:ascii="Palatino Linotype" w:hAnsi="Palatino Linotype" w:cs="Arial"/>
        </w:rPr>
        <w:t>refir</w:t>
      </w:r>
      <w:r>
        <w:rPr>
          <w:rFonts w:ascii="Palatino Linotype" w:hAnsi="Palatino Linotype" w:cs="Arial"/>
        </w:rPr>
        <w:t>i</w:t>
      </w:r>
      <w:r w:rsidRPr="006D678F">
        <w:rPr>
          <w:rFonts w:ascii="Palatino Linotype" w:hAnsi="Palatino Linotype" w:cs="Arial"/>
        </w:rPr>
        <w:t>e</w:t>
      </w:r>
      <w:r>
        <w:rPr>
          <w:rFonts w:ascii="Palatino Linotype" w:hAnsi="Palatino Linotype" w:cs="Arial"/>
        </w:rPr>
        <w:t>ndo</w:t>
      </w:r>
      <w:r w:rsidRPr="006D678F">
        <w:rPr>
          <w:rFonts w:ascii="Palatino Linotype" w:hAnsi="Palatino Linotype" w:cs="Arial"/>
        </w:rPr>
        <w:t xml:space="preserve"> el </w:t>
      </w:r>
      <w:r w:rsidRPr="002B5480">
        <w:rPr>
          <w:rFonts w:ascii="Palatino Linotype" w:hAnsi="Palatino Linotype" w:cs="Arial"/>
          <w:b/>
        </w:rPr>
        <w:t>SUJETO OBLIGADO</w:t>
      </w:r>
      <w:r w:rsidRPr="006D678F">
        <w:rPr>
          <w:rFonts w:ascii="Palatino Linotype" w:hAnsi="Palatino Linotype" w:cs="Arial"/>
        </w:rPr>
        <w:t xml:space="preserve">, los Servicios de Seguridad Auxiliar del Estado de México no se encuentran adscritos a las dependencias que integran a la Comisión Estatal de Seguridad Pública, si no reciben recursos financieros de los que integran el presupuesto público de dicha dependencia, si no participan en la ejecución de las acciones que integran los programas y planes </w:t>
      </w:r>
      <w:r w:rsidRPr="006D678F">
        <w:rPr>
          <w:rFonts w:ascii="Palatino Linotype" w:hAnsi="Palatino Linotype" w:cs="Arial"/>
        </w:rPr>
        <w:lastRenderedPageBreak/>
        <w:t>gubernamentales</w:t>
      </w:r>
      <w:r>
        <w:rPr>
          <w:rStyle w:val="Refdenotaalpie"/>
          <w:rFonts w:ascii="Palatino Linotype" w:hAnsi="Palatino Linotype" w:cs="Arial"/>
        </w:rPr>
        <w:footnoteReference w:id="3"/>
      </w:r>
      <w:r w:rsidRPr="006D678F">
        <w:rPr>
          <w:rFonts w:ascii="Palatino Linotype" w:hAnsi="Palatino Linotype" w:cs="Arial"/>
        </w:rPr>
        <w:t xml:space="preserve"> y si sus integrantes no son servidores públicos,</w:t>
      </w:r>
      <w:r>
        <w:rPr>
          <w:rStyle w:val="Refdenotaalpie"/>
          <w:rFonts w:ascii="Palatino Linotype" w:hAnsi="Palatino Linotype" w:cs="Arial"/>
        </w:rPr>
        <w:footnoteReference w:id="4"/>
      </w:r>
      <w:r w:rsidRPr="006D678F">
        <w:rPr>
          <w:rFonts w:ascii="Palatino Linotype" w:hAnsi="Palatino Linotype" w:cs="Arial"/>
        </w:rPr>
        <w:t xml:space="preserve"> en consecuencia, la licencia para la portación de las armas de fuego que ocupan para el desempeño de sus funciones no corresponde a la licencia oficial sino a la particular.</w:t>
      </w:r>
    </w:p>
    <w:p w:rsidR="00D76183" w:rsidRPr="006D678F" w:rsidRDefault="00D76183" w:rsidP="00D76183">
      <w:pPr>
        <w:pStyle w:val="Prrafodelista"/>
        <w:rPr>
          <w:rFonts w:ascii="Palatino Linotype" w:hAnsi="Palatino Linotype" w:cs="Arial"/>
        </w:rPr>
      </w:pPr>
    </w:p>
    <w:p w:rsidR="00D76183" w:rsidRPr="00E0400B"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Pr="006D678F">
        <w:rPr>
          <w:rFonts w:ascii="Palatino Linotype" w:hAnsi="Palatino Linotype" w:cs="Arial"/>
        </w:rPr>
        <w:t xml:space="preserve">Lo anterior </w:t>
      </w:r>
      <w:r>
        <w:rPr>
          <w:rFonts w:ascii="Palatino Linotype" w:hAnsi="Palatino Linotype" w:cs="Arial"/>
        </w:rPr>
        <w:t>resultaría perfectamente compatible con</w:t>
      </w:r>
      <w:r w:rsidRPr="006D678F">
        <w:rPr>
          <w:rFonts w:ascii="Palatino Linotype" w:hAnsi="Palatino Linotype" w:cs="Arial"/>
        </w:rPr>
        <w:t xml:space="preserve"> lo concluido en la sección anterior al precisarse que los servicios que brinda el organismo en cuestión</w:t>
      </w:r>
      <w:r>
        <w:rPr>
          <w:rFonts w:ascii="Palatino Linotype" w:hAnsi="Palatino Linotype" w:cs="Arial"/>
        </w:rPr>
        <w:t>,</w:t>
      </w:r>
      <w:r w:rsidRPr="006D678F">
        <w:rPr>
          <w:rFonts w:ascii="Palatino Linotype" w:hAnsi="Palatino Linotype" w:cs="Arial"/>
        </w:rPr>
        <w:t xml:space="preserve"> aun cuando se trata de una actividad auxiliar de la función de seguridad pública</w:t>
      </w:r>
      <w:r>
        <w:rPr>
          <w:rFonts w:ascii="Palatino Linotype" w:hAnsi="Palatino Linotype" w:cs="Arial"/>
        </w:rPr>
        <w:t>,</w:t>
      </w:r>
      <w:r w:rsidRPr="006D678F">
        <w:rPr>
          <w:rFonts w:ascii="Palatino Linotype" w:hAnsi="Palatino Linotype" w:cs="Arial"/>
        </w:rPr>
        <w:t xml:space="preserve"> s</w:t>
      </w:r>
      <w:r>
        <w:rPr>
          <w:rFonts w:ascii="Palatino Linotype" w:hAnsi="Palatino Linotype" w:cs="Arial"/>
        </w:rPr>
        <w:t>ería</w:t>
      </w:r>
      <w:r w:rsidRPr="006D678F">
        <w:rPr>
          <w:rFonts w:ascii="Palatino Linotype" w:hAnsi="Palatino Linotype" w:cs="Arial"/>
        </w:rPr>
        <w:t xml:space="preserve"> una acción brindada por un particular que actúa a nombre del Estado, autorizado por éste. </w:t>
      </w:r>
      <w:r>
        <w:rPr>
          <w:rFonts w:ascii="Palatino Linotype" w:hAnsi="Palatino Linotype" w:cs="Arial"/>
        </w:rPr>
        <w:t xml:space="preserve">Sin embargo la mayoría de este órgano, emitiendo resoluciones contradictorias entre sí ha dicho primero que se trata de un privado, y cuando en su momento propuse una resolución señalando que se trataba de un privado, decidió rechazar dicho criterio porque ya sea público o privado, son claras las atribuciones que la Comisión Estatal de Seguridad Pública está incumpliendo. </w:t>
      </w:r>
    </w:p>
    <w:p w:rsidR="00D76183" w:rsidRDefault="00D76183" w:rsidP="00C7654F">
      <w:pPr>
        <w:pStyle w:val="Ttulo1"/>
      </w:pPr>
      <w:bookmarkStart w:id="5" w:name="_Toc522537036"/>
      <w:r w:rsidRPr="00310096">
        <w:t>V. La relació</w:t>
      </w:r>
      <w:r w:rsidR="006A1485">
        <w:t>n jurídica que existe entre la Secretaría de Seguridad</w:t>
      </w:r>
      <w:r w:rsidRPr="00310096">
        <w:t xml:space="preserve"> y los Cuerpos de Seguridad Auxiliares del Estado de México.</w:t>
      </w:r>
      <w:bookmarkEnd w:id="5"/>
      <w:r w:rsidRPr="00310096">
        <w:t xml:space="preserve"> </w:t>
      </w:r>
    </w:p>
    <w:p w:rsidR="00D76183" w:rsidRPr="00310096" w:rsidRDefault="00D76183" w:rsidP="00D76183"/>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Como se señaló en la sección anterior la función de seguridad pública corresponde a los tres niveles de gobierno y, en el caso del Estado de México, los servicios de protección, custodia, vigilancia y seguridad a dependencias y organismos públicos, </w:t>
      </w:r>
      <w:r>
        <w:rPr>
          <w:rFonts w:ascii="Palatino Linotype" w:hAnsi="Palatino Linotype" w:cs="Arial"/>
        </w:rPr>
        <w:lastRenderedPageBreak/>
        <w:t xml:space="preserve">sociedades mercantiles y demás sujetos referidos previamente pueden ser brindados por el Estado a través de organismos que tienen el carácter de auxiliares de la función de seguridad pública y que se integran por personal que no cuenta con la condición de servidores públicos, como ya ha señalado este pleno en las resoluciones a los recursos de revisión en la resolución </w:t>
      </w:r>
      <w:r w:rsidRPr="00331BE3">
        <w:rPr>
          <w:rFonts w:ascii="Palatino Linotype" w:hAnsi="Palatino Linotype" w:cs="Arial"/>
        </w:rPr>
        <w:t>01129/INFOEM/IP/RR/2015 y 01130/INFOEM/AD/RR/2015</w:t>
      </w:r>
      <w:r>
        <w:rPr>
          <w:rFonts w:ascii="Palatino Linotype" w:hAnsi="Palatino Linotype" w:cs="Arial"/>
        </w:rPr>
        <w:t xml:space="preserve"> (acumulados), por lo tanto se trataría de prestadores de servicios de seguridad privada.</w:t>
      </w:r>
    </w:p>
    <w:p w:rsidR="00D76183" w:rsidRDefault="00D76183" w:rsidP="00D76183">
      <w:pPr>
        <w:pStyle w:val="Prrafodelista"/>
        <w:spacing w:line="360" w:lineRule="auto"/>
        <w:ind w:left="142"/>
        <w:jc w:val="both"/>
        <w:rPr>
          <w:rFonts w:ascii="Palatino Linotype" w:hAnsi="Palatino Linotype" w:cs="Arial"/>
        </w:rPr>
      </w:pPr>
      <w:r>
        <w:rPr>
          <w:rFonts w:ascii="Palatino Linotype" w:hAnsi="Palatino Linotype" w:cs="Arial"/>
        </w:rPr>
        <w:t xml:space="preserve"> </w:t>
      </w:r>
    </w:p>
    <w:p w:rsidR="00D76183" w:rsidRPr="00E0400B"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Pr="00E0400B">
        <w:rPr>
          <w:rFonts w:ascii="Palatino Linotype" w:hAnsi="Palatino Linotype" w:cs="Arial"/>
        </w:rPr>
        <w:t xml:space="preserve">En </w:t>
      </w:r>
      <w:r>
        <w:rPr>
          <w:rFonts w:ascii="Palatino Linotype" w:hAnsi="Palatino Linotype" w:cs="Arial"/>
        </w:rPr>
        <w:t>todos estos casos</w:t>
      </w:r>
      <w:r w:rsidRPr="00E0400B">
        <w:rPr>
          <w:rFonts w:ascii="Palatino Linotype" w:hAnsi="Palatino Linotype" w:cs="Arial"/>
        </w:rPr>
        <w:t xml:space="preserve"> el </w:t>
      </w:r>
      <w:r w:rsidRPr="00E0400B">
        <w:rPr>
          <w:rFonts w:ascii="Palatino Linotype" w:eastAsia="Calibri" w:hAnsi="Palatino Linotype"/>
          <w:b/>
          <w:lang w:val="es-ES" w:eastAsia="es-ES"/>
        </w:rPr>
        <w:t>SUJETO OBLIGADO,</w:t>
      </w:r>
      <w:r w:rsidRPr="00E0400B">
        <w:rPr>
          <w:rFonts w:ascii="Palatino Linotype" w:hAnsi="Palatino Linotype" w:cs="Arial"/>
        </w:rPr>
        <w:t xml:space="preserve"> al referirse a lo dispuesto en el </w:t>
      </w:r>
      <w:r w:rsidRPr="00E0400B">
        <w:rPr>
          <w:rFonts w:ascii="Palatino Linotype" w:eastAsia="Calibri" w:hAnsi="Palatino Linotype"/>
          <w:lang w:eastAsia="es-ES"/>
        </w:rPr>
        <w:t>segundo párrafo del artículo 103 de la Ley de Seguridad del Estado de México, en la fracción XV del artículo 8 de la Ley que crea la Comisión Estatal de Seguridad Ciudadana del Estado de México y en la fracción XXII del artículo 10 del Reglamento Interior de la Comisión Estatal de Seguridad Ciudadana y deducir de ello que la relación que existe es estrictamente operativa y en situaciones de urgencia, realiza una lectura parcial, limitada y defectuosa de los ordenamientos jurídicos que, como dependencia especializada, debería de operar con mayor claridad y consistencia.</w:t>
      </w:r>
    </w:p>
    <w:p w:rsidR="00D76183" w:rsidRPr="00E0400B"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eastAsia="Calibri" w:hAnsi="Palatino Linotype"/>
          <w:lang w:eastAsia="es-ES"/>
        </w:rPr>
        <w:t xml:space="preserve"> </w:t>
      </w:r>
      <w:r w:rsidRPr="00E0400B">
        <w:rPr>
          <w:rFonts w:ascii="Palatino Linotype" w:eastAsia="Calibri" w:hAnsi="Palatino Linotype"/>
          <w:lang w:eastAsia="es-ES"/>
        </w:rPr>
        <w:t xml:space="preserve">Lo anterior en virtud de que es función del Secretario de Seguridad Ciudadana coordinar tanto a las Instituciones Policiales Estatales como a los organismos en cuestión, según lo señala el artículo 16 fracción IV de la Ley de Seguridad del Estado de México, y aún las propias disposiciones citadas por el </w:t>
      </w:r>
      <w:r w:rsidRPr="002B5480">
        <w:rPr>
          <w:rFonts w:ascii="Palatino Linotype" w:eastAsia="Calibri" w:hAnsi="Palatino Linotype"/>
          <w:b/>
          <w:caps/>
          <w:lang w:eastAsia="es-ES"/>
        </w:rPr>
        <w:t>Sujeto Obligado</w:t>
      </w:r>
      <w:r w:rsidRPr="00E0400B">
        <w:rPr>
          <w:rFonts w:ascii="Palatino Linotype" w:eastAsia="Calibri" w:hAnsi="Palatino Linotype"/>
          <w:lang w:eastAsia="es-ES"/>
        </w:rPr>
        <w:t xml:space="preserve">, entre ellas el segundo párrafo del artículo 103 de esta misma ley, </w:t>
      </w:r>
      <w:r w:rsidRPr="00E0400B">
        <w:rPr>
          <w:rFonts w:ascii="Palatino Linotype" w:eastAsia="Calibri" w:hAnsi="Palatino Linotype"/>
          <w:lang w:eastAsia="es-ES"/>
        </w:rPr>
        <w:lastRenderedPageBreak/>
        <w:t xml:space="preserve">refiere que la </w:t>
      </w:r>
      <w:r w:rsidRPr="00E0400B">
        <w:rPr>
          <w:rFonts w:ascii="Palatino Linotype" w:eastAsia="Calibri" w:hAnsi="Palatino Linotype"/>
          <w:i/>
          <w:lang w:eastAsia="es-ES"/>
        </w:rPr>
        <w:t>organización y funcionamiento</w:t>
      </w:r>
      <w:r w:rsidRPr="00E0400B">
        <w:rPr>
          <w:rFonts w:ascii="Palatino Linotype" w:eastAsia="Calibri" w:hAnsi="Palatino Linotype"/>
          <w:lang w:eastAsia="es-ES"/>
        </w:rPr>
        <w:t xml:space="preserve"> de estos cuerpos de seguridad, se regularán por </w:t>
      </w:r>
      <w:r w:rsidRPr="00E0400B">
        <w:rPr>
          <w:rFonts w:ascii="Palatino Linotype" w:eastAsia="Calibri" w:hAnsi="Palatino Linotype"/>
          <w:i/>
          <w:lang w:eastAsia="es-ES"/>
        </w:rPr>
        <w:t>las disposiciones administrativas que emitan las dependencias del Gobierno del Estado</w:t>
      </w:r>
      <w:r w:rsidRPr="00E0400B">
        <w:rPr>
          <w:rFonts w:ascii="Palatino Linotype" w:eastAsia="Calibri" w:hAnsi="Palatino Linotype"/>
          <w:lang w:eastAsia="es-ES"/>
        </w:rPr>
        <w:t>.</w:t>
      </w:r>
    </w:p>
    <w:p w:rsidR="00D76183" w:rsidRPr="00E0400B" w:rsidRDefault="00D76183" w:rsidP="00D76183">
      <w:pPr>
        <w:pStyle w:val="Prrafodelista"/>
        <w:rPr>
          <w:rFonts w:ascii="Palatino Linotype" w:eastAsia="Calibri" w:hAnsi="Palatino Linotype"/>
          <w:lang w:eastAsia="es-ES"/>
        </w:rPr>
      </w:pPr>
    </w:p>
    <w:p w:rsidR="00D76183" w:rsidRPr="00B11ABA"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eastAsia="Calibri" w:hAnsi="Palatino Linotype"/>
          <w:lang w:eastAsia="es-ES"/>
        </w:rPr>
        <w:t xml:space="preserve"> </w:t>
      </w:r>
      <w:r w:rsidRPr="00E0400B">
        <w:rPr>
          <w:rFonts w:ascii="Palatino Linotype" w:eastAsia="Calibri" w:hAnsi="Palatino Linotype"/>
          <w:lang w:eastAsia="es-ES"/>
        </w:rPr>
        <w:t xml:space="preserve">Entre esas disposiciones administrativas se encuentra el Reglamento Interior de la Comisión Estatal de Seguridad Ciudadana, al que también se refiere el </w:t>
      </w:r>
      <w:r w:rsidRPr="002B5480">
        <w:rPr>
          <w:rFonts w:ascii="Palatino Linotype" w:eastAsia="Calibri" w:hAnsi="Palatino Linotype"/>
          <w:b/>
          <w:caps/>
          <w:lang w:eastAsia="es-ES"/>
        </w:rPr>
        <w:t>Sujeto Obligado</w:t>
      </w:r>
      <w:r w:rsidRPr="00E0400B">
        <w:rPr>
          <w:rFonts w:ascii="Palatino Linotype" w:eastAsia="Calibri" w:hAnsi="Palatino Linotype"/>
          <w:lang w:eastAsia="es-ES"/>
        </w:rPr>
        <w:t xml:space="preserve">, </w:t>
      </w:r>
      <w:r w:rsidR="006A1485">
        <w:rPr>
          <w:rFonts w:ascii="Palatino Linotype" w:eastAsia="Calibri" w:hAnsi="Palatino Linotype"/>
          <w:lang w:eastAsia="es-ES"/>
        </w:rPr>
        <w:t xml:space="preserve">en su respuesta inicial </w:t>
      </w:r>
      <w:r w:rsidRPr="00E0400B">
        <w:rPr>
          <w:rFonts w:ascii="Palatino Linotype" w:eastAsia="Calibri" w:hAnsi="Palatino Linotype"/>
          <w:lang w:eastAsia="es-ES"/>
        </w:rPr>
        <w:t>señalando que su relación se limita a coordinar operativamente a dichos organismos auxiliares, según lo referido en la fracción XXII del artículo 10 del Reglamento en cuestión, omitiendo señalar que las dos fracciones previas de la porción legal aludida por el Sujeto Obligado facultan a la misma dependencia para:</w:t>
      </w:r>
    </w:p>
    <w:p w:rsidR="00D76183" w:rsidRPr="00B11ABA" w:rsidRDefault="00D76183" w:rsidP="00D76183">
      <w:pPr>
        <w:pStyle w:val="Prrafodelista"/>
        <w:rPr>
          <w:rFonts w:ascii="Palatino Linotype" w:hAnsi="Palatino Linotype" w:cs="Arial"/>
        </w:rPr>
      </w:pPr>
    </w:p>
    <w:p w:rsidR="00D76183" w:rsidRPr="0026516E" w:rsidRDefault="00D76183" w:rsidP="00D76183">
      <w:pPr>
        <w:spacing w:before="240" w:after="240" w:line="360" w:lineRule="auto"/>
        <w:ind w:left="567" w:right="616"/>
        <w:jc w:val="both"/>
        <w:rPr>
          <w:rFonts w:ascii="Palatino Linotype" w:eastAsia="Calibri" w:hAnsi="Palatino Linotype"/>
          <w:i/>
          <w:lang w:eastAsia="es-ES"/>
        </w:rPr>
      </w:pPr>
      <w:r w:rsidRPr="0026516E">
        <w:rPr>
          <w:rFonts w:ascii="Palatino Linotype" w:eastAsia="Calibri" w:hAnsi="Palatino Linotype"/>
          <w:i/>
          <w:lang w:eastAsia="es-ES"/>
        </w:rPr>
        <w:t>XX. Regular, coordinar, supervisar y controlar a los prestadores de servicios de seguridad privada y verificar el cumplimiento de las disposiciones normativas en la materia, así como recibir, atender y resolver las quejas sobre su actuación.</w:t>
      </w:r>
    </w:p>
    <w:p w:rsidR="00D76183" w:rsidRDefault="00D76183" w:rsidP="00D76183">
      <w:pPr>
        <w:spacing w:before="240" w:after="240" w:line="360" w:lineRule="auto"/>
        <w:ind w:left="567" w:right="616"/>
        <w:jc w:val="both"/>
        <w:rPr>
          <w:rFonts w:ascii="Palatino Linotype" w:eastAsia="Calibri" w:hAnsi="Palatino Linotype"/>
          <w:i/>
          <w:lang w:eastAsia="es-ES"/>
        </w:rPr>
      </w:pPr>
      <w:r w:rsidRPr="0026516E">
        <w:rPr>
          <w:rFonts w:ascii="Palatino Linotype" w:eastAsia="Calibri" w:hAnsi="Palatino Linotype"/>
          <w:i/>
          <w:lang w:eastAsia="es-ES"/>
        </w:rPr>
        <w:t>XXI. Realizar el registro, seguimiento y control del personal de la Comisión y de los prestadores del servicio de seguridad privada, así como el de los cuerpos preventivos de seguridad pública municipal.</w:t>
      </w: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No está por demás señalar que la fracción primera de dicho artículo, faculta a la Comisión para </w:t>
      </w:r>
      <w:r w:rsidRPr="008A63DC">
        <w:rPr>
          <w:rFonts w:ascii="Palatino Linotype" w:eastAsia="Calibri" w:hAnsi="Palatino Linotype"/>
          <w:i/>
          <w:lang w:eastAsia="es-ES"/>
        </w:rPr>
        <w:t xml:space="preserve">coordinar los servicios de seguridad pública y de prevención del delito al </w:t>
      </w:r>
      <w:r w:rsidRPr="008A63DC">
        <w:rPr>
          <w:rFonts w:ascii="Palatino Linotype" w:eastAsia="Calibri" w:hAnsi="Palatino Linotype"/>
          <w:i/>
          <w:lang w:eastAsia="es-ES"/>
        </w:rPr>
        <w:lastRenderedPageBreak/>
        <w:t>interior del Estado y salvaguardar la integridad, los derechos y bienes de las personas, así como preservar la libertad, el orden y la paz públicos</w:t>
      </w:r>
      <w:r>
        <w:rPr>
          <w:rFonts w:ascii="Palatino Linotype" w:eastAsia="Calibri" w:hAnsi="Palatino Linotype"/>
          <w:lang w:eastAsia="es-ES"/>
        </w:rPr>
        <w:t>.</w:t>
      </w:r>
    </w:p>
    <w:p w:rsidR="00D76183" w:rsidRDefault="00D76183" w:rsidP="00D76183">
      <w:pPr>
        <w:pStyle w:val="Prrafodelista"/>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 </w:t>
      </w: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De la simple lectura de estas disposiciones puede apreciarse que la Comisión Estatal de Seguridad Pública coordina a todos los cuerpos de seguridad pública, registra, da seguimiento y control al personal tanto de dicha dependencia como de los cuerpos preventivos de seguridad pública municipal, todos los anteriores integrados por servidores públicos; así mismo regula, coordina, supervisa y controla a los organismos integrados por particulares que no son servidores públicos y que, en consecuencia, brindan servicios de seguridad privada. Por lo tanto, si realiza dichas acciones en el caso de los servidores públicos en funciones policiales, en uno de los extremos del caso y también de los particulares que brindan el servicio de seguridad, en el otro extremo, es evidente y la sana lógica nos dicta que la relación que existe entre el </w:t>
      </w:r>
      <w:r w:rsidRPr="00E0400B">
        <w:rPr>
          <w:rFonts w:ascii="Palatino Linotype" w:eastAsia="Calibri" w:hAnsi="Palatino Linotype"/>
          <w:b/>
          <w:lang w:val="es-ES" w:eastAsia="es-ES"/>
        </w:rPr>
        <w:t>SUJETO OBLIGADO</w:t>
      </w:r>
      <w:r w:rsidRPr="00E0400B">
        <w:rPr>
          <w:rFonts w:ascii="Palatino Linotype" w:eastAsia="Calibri" w:hAnsi="Palatino Linotype"/>
          <w:lang w:eastAsia="es-ES"/>
        </w:rPr>
        <w:t xml:space="preserve"> con los denominados Cuerpos de Seguridad Auxiliares del Estado de México, se encuentra perfectamente comprendida dentro de las facultades de control y supervisión ya señaladas, y en virtud de lo estudiado en la sección anterior y de los precedentes de este mismo Órgano Garante ya citados, no hay duda de que los servicios prestados por los organismos auxiliares a los que hace referencia el segundo párrafo del artículo 103 de la Ley de Seguridad del Estado de México, son de naturaleza privada en actividades auxiliares a la función general de seguridad pública.</w:t>
      </w:r>
    </w:p>
    <w:p w:rsidR="00D76183" w:rsidRDefault="00D76183" w:rsidP="00D76183">
      <w:pPr>
        <w:pStyle w:val="Prrafodelista"/>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 xml:space="preserve"> </w:t>
      </w: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Pero si lo anterior no fuera suficiente, es necesario precisar dos aspectos adicionales contemplados en la Ley de Seguridad del Estado de México y que el Sujeto Obligado omite señalar. En primer lugar el tercer párrafo del multicitado artículo 103 que refiere que </w:t>
      </w:r>
      <w:r w:rsidRPr="00E0400B">
        <w:rPr>
          <w:rFonts w:ascii="Palatino Linotype" w:eastAsia="Calibri" w:hAnsi="Palatino Linotype"/>
          <w:i/>
          <w:lang w:eastAsia="es-ES"/>
        </w:rPr>
        <w:t>el personal que integre los organismos antes referidos deberá sujetarse a las disposiciones que establece esta Ley en materia de desarrollo policial, así como someterse a las evaluaciones para contar con la certificación respectiva</w:t>
      </w:r>
      <w:r w:rsidRPr="00E0400B">
        <w:rPr>
          <w:rFonts w:ascii="Palatino Linotype" w:eastAsia="Calibri" w:hAnsi="Palatino Linotype"/>
          <w:lang w:eastAsia="es-ES"/>
        </w:rPr>
        <w:t xml:space="preserve">. El desarrollo policial se encuentra regulado en dicha ley por su título séptimo y en su artículo 134 se define como el </w:t>
      </w:r>
      <w:r w:rsidRPr="00E0400B">
        <w:rPr>
          <w:rFonts w:ascii="Palatino Linotype" w:eastAsia="Calibri" w:hAnsi="Palatino Linotype"/>
          <w:i/>
          <w:lang w:eastAsia="es-ES"/>
        </w:rPr>
        <w:t>conjunto integral de reglas y procesos debidamente estructurados y enlazados entre sí que comprenden la Carrera Policial, los esquemas de profesionalización, la certificación y el régimen disciplinario de los Integrantes de las Instituciones Policiales, y tiene por objeto garantizar el desarrollo institucional, la estabilidad, la seguridad y la igualdad de oportunidades de los mismos; elevar la profesionalización, fomentar la vocación de servicio y el sentido de pertenencia, así como garantizar el cumplimiento de los principios a que se refiere esta Ley</w:t>
      </w:r>
      <w:r w:rsidRPr="00E0400B">
        <w:rPr>
          <w:rFonts w:ascii="Palatino Linotype" w:eastAsia="Calibri" w:hAnsi="Palatino Linotype"/>
          <w:lang w:eastAsia="es-ES"/>
        </w:rPr>
        <w:t>.</w:t>
      </w:r>
    </w:p>
    <w:p w:rsidR="00D76183" w:rsidRDefault="00D76183" w:rsidP="00D76183">
      <w:pPr>
        <w:pStyle w:val="Prrafodelista"/>
        <w:spacing w:line="360" w:lineRule="auto"/>
        <w:ind w:left="142"/>
        <w:jc w:val="both"/>
        <w:rPr>
          <w:rFonts w:ascii="Palatino Linotype" w:eastAsia="Calibri" w:hAnsi="Palatino Linotype"/>
          <w:lang w:eastAsia="es-ES"/>
        </w:rPr>
      </w:pPr>
    </w:p>
    <w:p w:rsidR="00D76183" w:rsidRPr="00E0400B"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 </w:t>
      </w:r>
      <w:r w:rsidRPr="00E0400B">
        <w:rPr>
          <w:rFonts w:ascii="Palatino Linotype" w:eastAsia="Calibri" w:hAnsi="Palatino Linotype"/>
          <w:lang w:eastAsia="es-ES"/>
        </w:rPr>
        <w:t xml:space="preserve">En el capítulo segundo de dicho título, se contemplan las bases de la carrera policial que se define en el artículo 140 como </w:t>
      </w:r>
      <w:r w:rsidRPr="00E0400B">
        <w:rPr>
          <w:rFonts w:ascii="Palatino Linotype" w:eastAsia="Calibri" w:hAnsi="Palatino Linotype"/>
          <w:i/>
          <w:lang w:eastAsia="es-ES"/>
        </w:rPr>
        <w:t xml:space="preserve">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 </w:t>
      </w:r>
    </w:p>
    <w:p w:rsidR="00D76183" w:rsidRPr="00E0400B" w:rsidRDefault="00D76183" w:rsidP="00D76183">
      <w:pPr>
        <w:pStyle w:val="Prrafodelista"/>
        <w:rPr>
          <w:rFonts w:ascii="Palatino Linotype" w:eastAsia="Calibri" w:hAnsi="Palatino Linotype"/>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 </w:t>
      </w:r>
      <w:r w:rsidRPr="00E0400B">
        <w:rPr>
          <w:rFonts w:ascii="Palatino Linotype" w:eastAsia="Calibri" w:hAnsi="Palatino Linotype"/>
          <w:lang w:eastAsia="es-ES"/>
        </w:rPr>
        <w:t xml:space="preserve">De lo anterior puede deducirse la existencia de procedimientos claros, precisos y permanente para favorecer el desempeño personal en materia de desarrollo policial, lo que según la exposición de motivos de la iniciativa que sirvió de base para la expedición de la ley, presentada por el Gobernador del Estado, tenía </w:t>
      </w:r>
      <w:r w:rsidRPr="00E0400B">
        <w:rPr>
          <w:rFonts w:ascii="Palatino Linotype" w:eastAsia="Calibri" w:hAnsi="Palatino Linotype"/>
          <w:i/>
          <w:lang w:eastAsia="es-ES"/>
        </w:rPr>
        <w:t>por objeto garantizar el desarrollo institucional, la estabilidad, la seguridad y la igualdad de oportunidades de los mismos; elevar la profesionalización, fomentar la vocación de servicio y el sentido de pertenencia, así como garantizar el cumplimiento de los principios a que se refiere esta Ley que se propone.</w:t>
      </w:r>
      <w:r>
        <w:rPr>
          <w:rStyle w:val="Refdenotaalpie"/>
          <w:rFonts w:ascii="Palatino Linotype" w:eastAsia="Calibri" w:hAnsi="Palatino Linotype"/>
          <w:i/>
          <w:lang w:eastAsia="es-ES"/>
        </w:rPr>
        <w:footnoteReference w:id="5"/>
      </w:r>
      <w:r>
        <w:t xml:space="preserve"> </w:t>
      </w:r>
      <w:r>
        <w:rPr>
          <w:rFonts w:ascii="Palatino Linotype" w:eastAsia="Calibri" w:hAnsi="Palatino Linotype"/>
          <w:lang w:eastAsia="es-ES"/>
        </w:rPr>
        <w:t>Fines supe</w:t>
      </w:r>
      <w:r w:rsidRPr="00E0400B">
        <w:rPr>
          <w:rFonts w:ascii="Palatino Linotype" w:eastAsia="Calibri" w:hAnsi="Palatino Linotype"/>
          <w:lang w:eastAsia="es-ES"/>
        </w:rPr>
        <w:t xml:space="preserve">riores que serían inútiles e irrealizables si la autoridad hubiera declinado al ejercicio de sus naturales competencias para controlar y supervisar a quienes integran a estos organismos auxiliares, en consecuencia de ello y contrario a lo señalado por el </w:t>
      </w:r>
      <w:r w:rsidRPr="00B11ABA">
        <w:rPr>
          <w:rFonts w:ascii="Palatino Linotype" w:eastAsia="Calibri" w:hAnsi="Palatino Linotype"/>
          <w:b/>
          <w:lang w:eastAsia="es-ES"/>
        </w:rPr>
        <w:t>SUJETO OBLIGADO,</w:t>
      </w:r>
      <w:r w:rsidRPr="00E0400B">
        <w:rPr>
          <w:rFonts w:ascii="Palatino Linotype" w:eastAsia="Calibri" w:hAnsi="Palatino Linotype"/>
          <w:lang w:eastAsia="es-ES"/>
        </w:rPr>
        <w:t xml:space="preserve"> mantener el seguimiento del funcionamiento de estos organismos se encuentra perfectamente encuadrado en las facultades que el artículo 16 fracción VI de la multicitada Ley de Seguridad, le otorgan al Secretario de Seguridad Ciudadana.</w:t>
      </w:r>
    </w:p>
    <w:p w:rsidR="00D76183" w:rsidRDefault="00D76183" w:rsidP="00D76183">
      <w:pPr>
        <w:pStyle w:val="Prrafodelista"/>
        <w:spacing w:line="360" w:lineRule="auto"/>
        <w:ind w:left="142"/>
        <w:jc w:val="both"/>
        <w:rPr>
          <w:rFonts w:ascii="Palatino Linotype" w:eastAsia="Calibri" w:hAnsi="Palatino Linotype"/>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 </w:t>
      </w:r>
      <w:r w:rsidRPr="00E0400B">
        <w:rPr>
          <w:rFonts w:ascii="Palatino Linotype" w:eastAsia="Calibri" w:hAnsi="Palatino Linotype"/>
          <w:lang w:eastAsia="es-ES"/>
        </w:rPr>
        <w:t>Por último, no debe perderse de vista que el artículo transitorio décimo octavo facultan al Ejecutivo para expedir las disposiciones administrativas que permitan dar cumplimiento al segundo párrafo del artículo 103 en cuestión.</w:t>
      </w:r>
    </w:p>
    <w:p w:rsidR="00D76183" w:rsidRPr="00E0400B" w:rsidRDefault="00D76183" w:rsidP="00D76183">
      <w:pPr>
        <w:pStyle w:val="Prrafodelista"/>
        <w:rPr>
          <w:rFonts w:ascii="Palatino Linotype" w:eastAsia="Calibri" w:hAnsi="Palatino Linotype"/>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 xml:space="preserve"> </w:t>
      </w:r>
      <w:r w:rsidRPr="00E0400B">
        <w:rPr>
          <w:rFonts w:ascii="Palatino Linotype" w:eastAsia="Calibri" w:hAnsi="Palatino Linotype"/>
          <w:lang w:eastAsia="es-ES"/>
        </w:rPr>
        <w:t xml:space="preserve">Por lo que la respuesta emitida por el </w:t>
      </w:r>
      <w:r w:rsidRPr="00C2565F">
        <w:rPr>
          <w:rFonts w:ascii="Palatino Linotype" w:eastAsia="Calibri" w:hAnsi="Palatino Linotype"/>
          <w:b/>
          <w:caps/>
          <w:lang w:eastAsia="es-ES"/>
        </w:rPr>
        <w:t>Sujeto Obligado</w:t>
      </w:r>
      <w:r w:rsidRPr="00E0400B">
        <w:rPr>
          <w:rFonts w:ascii="Palatino Linotype" w:eastAsia="Calibri" w:hAnsi="Palatino Linotype"/>
          <w:lang w:eastAsia="es-ES"/>
        </w:rPr>
        <w:t>, al amparo de las disposiciones por él citadas, son insuficientes y deficientes para concluir, como indebidamente pretende la autoridad, señalando que no existe relación entre la institución pública y el organismo auxiliar, que le permita contar con la información solicitada. Por lo tanto</w:t>
      </w:r>
      <w:r>
        <w:rPr>
          <w:rFonts w:ascii="Palatino Linotype" w:eastAsia="Calibri" w:hAnsi="Palatino Linotype"/>
          <w:lang w:eastAsia="es-ES"/>
        </w:rPr>
        <w:t>, soy de la opinión de que</w:t>
      </w:r>
      <w:r w:rsidRPr="00E0400B">
        <w:rPr>
          <w:rFonts w:ascii="Palatino Linotype" w:eastAsia="Calibri" w:hAnsi="Palatino Linotype"/>
          <w:lang w:eastAsia="es-ES"/>
        </w:rPr>
        <w:t xml:space="preserve"> la respuesta emitida vulnera el derecho de acceso a la información del señor </w:t>
      </w:r>
      <w:r w:rsidR="009B3109">
        <w:rPr>
          <w:rFonts w:ascii="Palatino Linotype" w:hAnsi="Palatino Linotype" w:cs="Arial"/>
          <w:b/>
        </w:rPr>
        <w:t>XXXXXX</w:t>
      </w:r>
      <w:r w:rsidRPr="00E0400B">
        <w:rPr>
          <w:rFonts w:ascii="Palatino Linotype" w:eastAsia="Calibri" w:hAnsi="Palatino Linotype"/>
          <w:lang w:eastAsia="es-ES"/>
        </w:rPr>
        <w:t xml:space="preserve"> al negar información bajo una supuesta inexistente relación que, contrario a lo manifestado por el </w:t>
      </w:r>
      <w:r w:rsidRPr="00E0400B">
        <w:rPr>
          <w:rFonts w:ascii="Palatino Linotype" w:eastAsia="Calibri" w:hAnsi="Palatino Linotype"/>
          <w:b/>
          <w:lang w:eastAsia="es-ES"/>
        </w:rPr>
        <w:t>SUJETO OBLIGADO,</w:t>
      </w:r>
      <w:r w:rsidRPr="00E0400B">
        <w:rPr>
          <w:rFonts w:ascii="Palatino Linotype" w:eastAsia="Calibri" w:hAnsi="Palatino Linotype"/>
          <w:lang w:eastAsia="es-ES"/>
        </w:rPr>
        <w:t xml:space="preserve"> en realidad sí existe, toda vez que a la luz de las disposiciones jurídicas señaladas en la presente sección se aprecia que existe una clara fuente de atribuciones de la autoridad que perfectamente explican una relación de la cual se derive la información solicitada en su totalidad o</w:t>
      </w:r>
      <w:r>
        <w:rPr>
          <w:rFonts w:ascii="Palatino Linotype" w:eastAsia="Calibri" w:hAnsi="Palatino Linotype"/>
          <w:lang w:eastAsia="es-ES"/>
        </w:rPr>
        <w:t xml:space="preserve"> en una</w:t>
      </w:r>
      <w:r w:rsidRPr="00E0400B">
        <w:rPr>
          <w:rFonts w:ascii="Palatino Linotype" w:eastAsia="Calibri" w:hAnsi="Palatino Linotype"/>
          <w:lang w:eastAsia="es-ES"/>
        </w:rPr>
        <w:t xml:space="preserve"> parte de ella</w:t>
      </w:r>
      <w:r>
        <w:rPr>
          <w:rFonts w:ascii="Palatino Linotype" w:eastAsia="Calibri" w:hAnsi="Palatino Linotype"/>
          <w:lang w:eastAsia="es-ES"/>
        </w:rPr>
        <w:t xml:space="preserve"> que incluye aspectos no ordenados por la mayoría en la resolución de la que me aparto</w:t>
      </w:r>
      <w:r w:rsidRPr="00E0400B">
        <w:rPr>
          <w:rFonts w:ascii="Palatino Linotype" w:eastAsia="Calibri" w:hAnsi="Palatino Linotype"/>
          <w:lang w:eastAsia="es-ES"/>
        </w:rPr>
        <w:t>.</w:t>
      </w:r>
    </w:p>
    <w:p w:rsidR="00D76183" w:rsidRPr="00E0400B" w:rsidRDefault="00D76183" w:rsidP="00D76183">
      <w:pPr>
        <w:spacing w:line="360" w:lineRule="auto"/>
        <w:jc w:val="both"/>
        <w:rPr>
          <w:rFonts w:ascii="Palatino Linotype" w:eastAsia="Calibri" w:hAnsi="Palatino Linotype"/>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En razón de que la relación jurídica debe existir, contando el </w:t>
      </w:r>
      <w:r w:rsidRPr="00C2565F">
        <w:rPr>
          <w:rFonts w:ascii="Palatino Linotype" w:eastAsia="Calibri" w:hAnsi="Palatino Linotype"/>
          <w:b/>
          <w:lang w:eastAsia="es-ES"/>
        </w:rPr>
        <w:t>SUJETO OBLIGADO,</w:t>
      </w:r>
      <w:r w:rsidRPr="00E0400B">
        <w:rPr>
          <w:rFonts w:ascii="Palatino Linotype" w:eastAsia="Calibri" w:hAnsi="Palatino Linotype"/>
          <w:lang w:eastAsia="es-ES"/>
        </w:rPr>
        <w:t xml:space="preserve"> con claras facultades de supervisión y control, es que resulta plenamente aplicable el primer párrafo del artículo 19 de la Ley General de Transparencia y Acceso a la Información Pública, por lo que </w:t>
      </w:r>
      <w:r>
        <w:rPr>
          <w:rFonts w:ascii="Palatino Linotype" w:eastAsia="Calibri" w:hAnsi="Palatino Linotype"/>
          <w:lang w:eastAsia="es-ES"/>
        </w:rPr>
        <w:t>debimos de l</w:t>
      </w:r>
      <w:r w:rsidRPr="00E0400B">
        <w:rPr>
          <w:rFonts w:ascii="Palatino Linotype" w:eastAsia="Calibri" w:hAnsi="Palatino Linotype"/>
          <w:lang w:eastAsia="es-ES"/>
        </w:rPr>
        <w:t>lega</w:t>
      </w:r>
      <w:r>
        <w:rPr>
          <w:rFonts w:ascii="Palatino Linotype" w:eastAsia="Calibri" w:hAnsi="Palatino Linotype"/>
          <w:lang w:eastAsia="es-ES"/>
        </w:rPr>
        <w:t>r</w:t>
      </w:r>
      <w:r w:rsidRPr="00E0400B">
        <w:rPr>
          <w:rFonts w:ascii="Palatino Linotype" w:eastAsia="Calibri" w:hAnsi="Palatino Linotype"/>
          <w:lang w:eastAsia="es-ES"/>
        </w:rPr>
        <w:t xml:space="preserve"> a la conclusión de que al tratarse de información relacionada con las facultades, competencias y funciones del </w:t>
      </w:r>
      <w:r w:rsidRPr="00C2565F">
        <w:rPr>
          <w:rFonts w:ascii="Palatino Linotype" w:eastAsia="Calibri" w:hAnsi="Palatino Linotype"/>
          <w:b/>
          <w:lang w:eastAsia="es-ES"/>
        </w:rPr>
        <w:t>SUJETO OBLIGADO,</w:t>
      </w:r>
      <w:r w:rsidRPr="00E0400B">
        <w:rPr>
          <w:rFonts w:ascii="Palatino Linotype" w:eastAsia="Calibri" w:hAnsi="Palatino Linotype"/>
          <w:lang w:eastAsia="es-ES"/>
        </w:rPr>
        <w:t xml:space="preserve"> señaladas en ordenamientos jurídicos aplicables, la información presumiblemente debe existir.</w:t>
      </w:r>
    </w:p>
    <w:p w:rsidR="00D76183" w:rsidRPr="007632F0" w:rsidRDefault="00D76183" w:rsidP="00D76183">
      <w:pPr>
        <w:pStyle w:val="Prrafodelista"/>
        <w:rPr>
          <w:rFonts w:ascii="Palatino Linotype" w:eastAsia="Calibri" w:hAnsi="Palatino Linotype"/>
          <w:lang w:eastAsia="es-ES"/>
        </w:rPr>
      </w:pPr>
    </w:p>
    <w:p w:rsidR="007A761C" w:rsidRPr="007A761C" w:rsidRDefault="00D76183" w:rsidP="0011434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pPr>
      <w:r w:rsidRPr="007A761C">
        <w:rPr>
          <w:rFonts w:ascii="Palatino Linotype" w:eastAsia="Calibri" w:hAnsi="Palatino Linotype"/>
          <w:lang w:eastAsia="es-ES"/>
        </w:rPr>
        <w:lastRenderedPageBreak/>
        <w:t xml:space="preserve">Aceptar en sus términos la respuesta que formula el SUJETO OBLIGADO nos conduce a señalar que existe un prestador de servicios de seguridad que ni es público ni privado y que se encuentra al margen de cualquier mecanismo de control gubernamental a pesar de que el desempeño de las actividades que realiza es precisamente en representación de  las propias instituciones públicas; nos encontraríamos así ante un vacío jurídico frente a un conjunto de cuasi mercenarios sin control o supervisión por parte de las autoridades, lo que sin embargo es evidente que no es así al grado de que en distintas resoluciones se han ido estableciendo distintos indicios para que los recurrentes puedan generarse una opinión fundada sobre las respuestas del SUJETO OBLIGADO y sobre las propias resoluciones aprobadas por la mayoría de este órgano garante. En el caso en cuestión considero </w:t>
      </w:r>
      <w:r w:rsidR="007A761C">
        <w:rPr>
          <w:rFonts w:ascii="Palatino Linotype" w:eastAsia="Calibri" w:hAnsi="Palatino Linotype"/>
          <w:lang w:eastAsia="es-ES"/>
        </w:rPr>
        <w:t>que la información relativa a</w:t>
      </w:r>
      <w:r w:rsidR="007527C4">
        <w:rPr>
          <w:rFonts w:ascii="Palatino Linotype" w:eastAsia="Calibri" w:hAnsi="Palatino Linotype"/>
          <w:lang w:eastAsia="es-ES"/>
        </w:rPr>
        <w:t xml:space="preserve"> la </w:t>
      </w:r>
      <w:r w:rsidR="007527C4">
        <w:rPr>
          <w:rFonts w:ascii="Palatino Linotype" w:eastAsia="Calibri" w:hAnsi="Palatino Linotype"/>
          <w:i/>
          <w:lang w:eastAsia="es-ES"/>
        </w:rPr>
        <w:t xml:space="preserve">C. </w:t>
      </w:r>
      <w:r w:rsidR="009B3109">
        <w:rPr>
          <w:rFonts w:ascii="Palatino Linotype" w:eastAsia="Calibri" w:hAnsi="Palatino Linotype"/>
          <w:i/>
          <w:lang w:eastAsia="es-ES"/>
        </w:rPr>
        <w:t>XXXXXXX</w:t>
      </w:r>
      <w:r w:rsidR="007527C4">
        <w:rPr>
          <w:rFonts w:ascii="Palatino Linotype" w:eastAsia="Calibri" w:hAnsi="Palatino Linotype"/>
          <w:lang w:eastAsia="es-ES"/>
        </w:rPr>
        <w:t xml:space="preserve"> el lugar al que </w:t>
      </w:r>
      <w:r w:rsidR="00086602">
        <w:rPr>
          <w:rFonts w:ascii="Palatino Linotype" w:eastAsia="Calibri" w:hAnsi="Palatino Linotype"/>
          <w:lang w:eastAsia="es-ES"/>
        </w:rPr>
        <w:t>está</w:t>
      </w:r>
      <w:r w:rsidR="007527C4">
        <w:rPr>
          <w:rFonts w:ascii="Palatino Linotype" w:eastAsia="Calibri" w:hAnsi="Palatino Linotype"/>
          <w:lang w:eastAsia="es-ES"/>
        </w:rPr>
        <w:t xml:space="preserve"> adscrita   en Cuerpos de Seguridad Auxiliares del Estado de México, así como su salario mensual, lista de asistencia de los últimos dos meses, en donde aparezca su nombre, número de empleado, fecha de ingreso horario de trabajo, área a la que se encuentra asignada, y de ser el caso copia de su manifestación de bienes, información </w:t>
      </w:r>
      <w:r w:rsidRPr="007A761C">
        <w:rPr>
          <w:rFonts w:ascii="Palatino Linotype" w:eastAsia="Calibri" w:hAnsi="Palatino Linotype"/>
          <w:lang w:eastAsia="es-ES"/>
        </w:rPr>
        <w:t>que se ha solicitado,</w:t>
      </w:r>
      <w:r w:rsidR="007527C4">
        <w:rPr>
          <w:rFonts w:ascii="Palatino Linotype" w:eastAsia="Calibri" w:hAnsi="Palatino Linotype"/>
          <w:lang w:eastAsia="es-ES"/>
        </w:rPr>
        <w:t xml:space="preserve"> debe existir y debe entregarse.</w:t>
      </w:r>
    </w:p>
    <w:p w:rsidR="00E205B6" w:rsidRDefault="00E205B6" w:rsidP="007A761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p>
    <w:p w:rsidR="00D76183" w:rsidRDefault="00D76183" w:rsidP="007A761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pPr>
      <w:r w:rsidRPr="00D007E3">
        <w:rPr>
          <w:rFonts w:ascii="Palatino Linotype" w:hAnsi="Palatino Linotype"/>
          <w:b/>
        </w:rPr>
        <w:t>VI.  La obligación de documentar</w:t>
      </w:r>
      <w:r w:rsidRPr="007A761C">
        <w:t>.</w:t>
      </w:r>
    </w:p>
    <w:p w:rsidR="00E205B6" w:rsidRPr="007A761C" w:rsidRDefault="00E205B6" w:rsidP="007A761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pPr>
      <w:r>
        <w:t xml:space="preserve"> </w:t>
      </w: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Como se ha acreditado ampliamente, las actividades que desempeñan el tipo de organismos como éste en particular, del que se requiere información, forman parte </w:t>
      </w:r>
      <w:r>
        <w:rPr>
          <w:rFonts w:ascii="Palatino Linotype" w:hAnsi="Palatino Linotype" w:cs="Arial"/>
        </w:rPr>
        <w:lastRenderedPageBreak/>
        <w:t xml:space="preserve">de las actividades auxiliares en materia de Seguridad Pública que puede brindar el Estado a través de particulares. Contrario a lo que el Sujeto Obligado argumentó, existe claramente un conjunto de atribuciones que facultan a la Comisión Estatal de Seguridad Pública para contar con la información a la que pretende acceder el </w:t>
      </w:r>
      <w:r w:rsidR="007527C4">
        <w:rPr>
          <w:rFonts w:ascii="Palatino Linotype" w:hAnsi="Palatino Linotype" w:cs="Arial"/>
        </w:rPr>
        <w:t xml:space="preserve">señor </w:t>
      </w:r>
      <w:r w:rsidR="009B3109">
        <w:rPr>
          <w:rFonts w:ascii="Palatino Linotype" w:hAnsi="Palatino Linotype" w:cs="Arial"/>
          <w:b/>
        </w:rPr>
        <w:t>XXXXXXXXXXX</w:t>
      </w:r>
      <w:r w:rsidRPr="00AD53AB">
        <w:rPr>
          <w:rFonts w:ascii="Palatino Linotype" w:hAnsi="Palatino Linotype" w:cs="Arial"/>
          <w:b/>
        </w:rPr>
        <w:t>,</w:t>
      </w:r>
      <w:r>
        <w:rPr>
          <w:rFonts w:ascii="Palatino Linotype" w:hAnsi="Palatino Linotype" w:cs="Arial"/>
        </w:rPr>
        <w:t xml:space="preserve"> incluso, hay material probatorio que permite confirmar la relación que existe entre este tipo de organismos, sino es que este organismo en particular, y la en ese entonces Secretaría, hoy Comisión.</w:t>
      </w:r>
    </w:p>
    <w:p w:rsidR="00D76183" w:rsidRDefault="00D76183" w:rsidP="00D76183">
      <w:pPr>
        <w:pStyle w:val="Prrafodelista"/>
        <w:spacing w:before="240" w:after="240" w:line="360" w:lineRule="auto"/>
        <w:ind w:left="142"/>
        <w:jc w:val="both"/>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 xml:space="preserve">Sin embargo debe señalarse que en </w:t>
      </w:r>
      <w:r>
        <w:rPr>
          <w:rFonts w:ascii="Palatino Linotype" w:hAnsi="Palatino Linotype" w:cs="Arial"/>
        </w:rPr>
        <w:t xml:space="preserve">repetidas ocasiones </w:t>
      </w:r>
      <w:r w:rsidRPr="00A8303A">
        <w:rPr>
          <w:rFonts w:ascii="Palatino Linotype" w:hAnsi="Palatino Linotype" w:cs="Arial"/>
        </w:rPr>
        <w:t xml:space="preserve">el </w:t>
      </w:r>
      <w:r w:rsidRPr="00A8303A">
        <w:rPr>
          <w:rFonts w:ascii="Palatino Linotype" w:hAnsi="Palatino Linotype" w:cs="Arial"/>
          <w:b/>
        </w:rPr>
        <w:t>SUJETO OBLIGADO</w:t>
      </w:r>
      <w:r w:rsidRPr="00A8303A">
        <w:rPr>
          <w:rFonts w:ascii="Palatino Linotype" w:hAnsi="Palatino Linotype" w:cs="Arial"/>
        </w:rPr>
        <w:t xml:space="preserve"> </w:t>
      </w:r>
      <w:r>
        <w:rPr>
          <w:rFonts w:ascii="Palatino Linotype" w:hAnsi="Palatino Linotype" w:cs="Arial"/>
        </w:rPr>
        <w:t xml:space="preserve">nos ha remitido diversos documentos, entre ellos </w:t>
      </w:r>
      <w:r w:rsidRPr="00A8303A">
        <w:rPr>
          <w:rFonts w:ascii="Palatino Linotype" w:hAnsi="Palatino Linotype" w:cs="Arial"/>
        </w:rPr>
        <w:t>el Organigrama de la Comisión Estatal de Seguridad Ciudadana, la Codificación de las Unidades Administrativas de la Comisión, documentos con los cuales pretende soportar su</w:t>
      </w:r>
      <w:r>
        <w:rPr>
          <w:rFonts w:ascii="Palatino Linotype" w:hAnsi="Palatino Linotype" w:cs="Arial"/>
        </w:rPr>
        <w:t>s</w:t>
      </w:r>
      <w:r w:rsidRPr="00A8303A">
        <w:rPr>
          <w:rFonts w:ascii="Palatino Linotype" w:hAnsi="Palatino Linotype" w:cs="Arial"/>
        </w:rPr>
        <w:t xml:space="preserve"> respuesta</w:t>
      </w:r>
      <w:r>
        <w:rPr>
          <w:rFonts w:ascii="Palatino Linotype" w:hAnsi="Palatino Linotype" w:cs="Arial"/>
        </w:rPr>
        <w:t>s</w:t>
      </w:r>
      <w:r w:rsidRPr="00A8303A">
        <w:rPr>
          <w:rFonts w:ascii="Palatino Linotype" w:hAnsi="Palatino Linotype" w:cs="Arial"/>
        </w:rPr>
        <w:t>.</w:t>
      </w:r>
    </w:p>
    <w:p w:rsidR="00D76183" w:rsidRPr="00A8303A"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 xml:space="preserve">Por tratarse de documentales públicas, rendidas por el </w:t>
      </w:r>
      <w:r w:rsidRPr="00A8303A">
        <w:rPr>
          <w:rFonts w:ascii="Palatino Linotype" w:hAnsi="Palatino Linotype" w:cs="Arial"/>
          <w:b/>
        </w:rPr>
        <w:t>SUJETO OBLIGADO</w:t>
      </w:r>
      <w:r w:rsidRPr="00A8303A">
        <w:rPr>
          <w:rFonts w:ascii="Palatino Linotype" w:hAnsi="Palatino Linotype" w:cs="Arial"/>
        </w:rPr>
        <w:t xml:space="preserve">, </w:t>
      </w:r>
      <w:r>
        <w:rPr>
          <w:rFonts w:ascii="Palatino Linotype" w:hAnsi="Palatino Linotype" w:cs="Arial"/>
        </w:rPr>
        <w:t xml:space="preserve">deben </w:t>
      </w:r>
      <w:r w:rsidRPr="00A8303A">
        <w:rPr>
          <w:rFonts w:ascii="Palatino Linotype" w:hAnsi="Palatino Linotype" w:cs="Arial"/>
        </w:rPr>
        <w:t>acepta</w:t>
      </w:r>
      <w:r>
        <w:rPr>
          <w:rFonts w:ascii="Palatino Linotype" w:hAnsi="Palatino Linotype" w:cs="Arial"/>
        </w:rPr>
        <w:t>rse</w:t>
      </w:r>
      <w:r w:rsidRPr="00A8303A">
        <w:rPr>
          <w:rFonts w:ascii="Palatino Linotype" w:hAnsi="Palatino Linotype" w:cs="Arial"/>
        </w:rPr>
        <w:t xml:space="preserve"> en todos sus términos y no pone</w:t>
      </w:r>
      <w:r>
        <w:rPr>
          <w:rFonts w:ascii="Palatino Linotype" w:hAnsi="Palatino Linotype" w:cs="Arial"/>
        </w:rPr>
        <w:t>r</w:t>
      </w:r>
      <w:r w:rsidRPr="00A8303A">
        <w:rPr>
          <w:rFonts w:ascii="Palatino Linotype" w:hAnsi="Palatino Linotype" w:cs="Arial"/>
        </w:rPr>
        <w:t xml:space="preserve"> en tela de duda su veracidad, siguiendo el Criterio número 31/10 del en ese entonces Instituto Federal de Acceso a la Información Y Protección de Datos, ahora Instituto Nacional de Transparencia, Acceso a la Información Pública y Protección de Datos Personales.</w:t>
      </w:r>
      <w:r w:rsidRPr="00B36ACE">
        <w:rPr>
          <w:vertAlign w:val="superscript"/>
        </w:rPr>
        <w:footnoteReference w:id="6"/>
      </w:r>
    </w:p>
    <w:p w:rsidR="00D76183" w:rsidRPr="00A8303A"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Sin dudar de la veracidad de la información</w:t>
      </w:r>
      <w:r>
        <w:rPr>
          <w:rFonts w:ascii="Palatino Linotype" w:hAnsi="Palatino Linotype" w:cs="Arial"/>
        </w:rPr>
        <w:t>, si debo</w:t>
      </w:r>
      <w:r w:rsidRPr="00A8303A">
        <w:rPr>
          <w:rFonts w:ascii="Palatino Linotype" w:hAnsi="Palatino Linotype" w:cs="Arial"/>
        </w:rPr>
        <w:t xml:space="preserve"> que señalar el mandato expreso de la reforma constitucional federal en materia de transparencia de 2014 que en el artículo sexto determinó la obligación de todos los sujetos obligados de documentar todas sus decisiones relacionadas con el ejercicio de sus facultades, competencias o funciones, lo cual además se reguló posteriormente en el artículo 18 de la Ley General de Transparencia y Acceso a la Información Pública. En el caso en cuestión ha quedado acreditado que existe una fuente de atribuciones clara e ineludible y de la respuesta aportada por el </w:t>
      </w:r>
      <w:r w:rsidRPr="00A8303A">
        <w:rPr>
          <w:rFonts w:ascii="Palatino Linotype" w:hAnsi="Palatino Linotype" w:cs="Arial"/>
          <w:b/>
        </w:rPr>
        <w:t>SUJETO OBLIGADO</w:t>
      </w:r>
      <w:r w:rsidRPr="00A8303A">
        <w:rPr>
          <w:rFonts w:ascii="Palatino Linotype" w:hAnsi="Palatino Linotype" w:cs="Arial"/>
        </w:rPr>
        <w:t xml:space="preserve"> se aprecia la posible actualización de cualquiera de los siguientes supuestos: que se realizó una búsqueda inadecuada de la información, que indebidamente se niega el acceso a la información existente al respecto o que posiblemente la autoridad declinó el ejercicio obligatorio de facultades legalmente establecidas.</w:t>
      </w:r>
    </w:p>
    <w:p w:rsidR="00D76183" w:rsidRPr="00A8303A"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 xml:space="preserve">A diferencia de otros casos, en el que se resuelve no se trata de hechos inexistentes, mal llamados negativos, sino que se trata de hechos que han ocurrido y que no han sido negados por el </w:t>
      </w:r>
      <w:r w:rsidRPr="00A8303A">
        <w:rPr>
          <w:rFonts w:ascii="Palatino Linotype" w:hAnsi="Palatino Linotype" w:cs="Arial"/>
          <w:b/>
          <w:caps/>
        </w:rPr>
        <w:t>Sujeto Obligado</w:t>
      </w:r>
      <w:r w:rsidRPr="00A8303A">
        <w:rPr>
          <w:rFonts w:ascii="Palatino Linotype" w:hAnsi="Palatino Linotype" w:cs="Arial"/>
        </w:rPr>
        <w:t xml:space="preserve"> que ha reconocido la existencia del organismo en cuestión y cuya respuesta deficiente sólo puede explicarse por el interés de negar el acceso a la información, la deficiente búsqueda de la información o el incumplimiento de adoptar acciones que se desprenden de sus </w:t>
      </w:r>
      <w:r w:rsidRPr="00A8303A">
        <w:rPr>
          <w:rFonts w:ascii="Palatino Linotype" w:hAnsi="Palatino Linotype" w:cs="Arial"/>
        </w:rPr>
        <w:lastRenderedPageBreak/>
        <w:t>facultades, atribuciones y funciones y que, en consecuencia, debieron de haberse documentado.</w:t>
      </w:r>
    </w:p>
    <w:p w:rsidR="00D76183" w:rsidRPr="00A8303A" w:rsidRDefault="00D76183" w:rsidP="00D76183">
      <w:pPr>
        <w:pStyle w:val="Prrafodelista"/>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Tratándose de una búsqueda deficiente, ésta debe de re</w:t>
      </w:r>
      <w:r>
        <w:rPr>
          <w:rFonts w:ascii="Palatino Linotype" w:hAnsi="Palatino Linotype" w:cs="Arial"/>
        </w:rPr>
        <w:t>pararse re</w:t>
      </w:r>
      <w:r w:rsidRPr="00A8303A">
        <w:rPr>
          <w:rFonts w:ascii="Palatino Linotype" w:hAnsi="Palatino Linotype" w:cs="Arial"/>
        </w:rPr>
        <w:t>aliza</w:t>
      </w:r>
      <w:r>
        <w:rPr>
          <w:rFonts w:ascii="Palatino Linotype" w:hAnsi="Palatino Linotype" w:cs="Arial"/>
        </w:rPr>
        <w:t>ndo una nueva de</w:t>
      </w:r>
      <w:r w:rsidRPr="00A8303A">
        <w:rPr>
          <w:rFonts w:ascii="Palatino Linotype" w:hAnsi="Palatino Linotype" w:cs="Arial"/>
        </w:rPr>
        <w:t xml:space="preserve"> manera exhaustiva para estar en condiciones de entregar la información requerida.</w:t>
      </w:r>
      <w:r>
        <w:rPr>
          <w:rStyle w:val="Refdenotaalpie"/>
          <w:rFonts w:ascii="Palatino Linotype" w:hAnsi="Palatino Linotype" w:cs="Arial"/>
        </w:rPr>
        <w:footnoteReference w:id="7"/>
      </w:r>
      <w:r w:rsidRPr="00A8303A">
        <w:rPr>
          <w:rFonts w:ascii="Palatino Linotype" w:hAnsi="Palatino Linotype" w:cs="Arial"/>
        </w:rPr>
        <w:t xml:space="preserve"> Si el caso en cuestión consiste en un intento injustificado de negar el acceso a información existente, ello debe de ser corregido para cumplir el estándar interamericano de protección al derecho humano de acceso a la información pública.</w:t>
      </w:r>
      <w:r>
        <w:rPr>
          <w:rStyle w:val="Refdenotaalpie"/>
          <w:rFonts w:ascii="Palatino Linotype" w:hAnsi="Palatino Linotype" w:cs="Arial"/>
        </w:rPr>
        <w:footnoteReference w:id="8"/>
      </w:r>
    </w:p>
    <w:p w:rsidR="00D76183" w:rsidRPr="00A8303A" w:rsidRDefault="00D76183" w:rsidP="00D76183">
      <w:pPr>
        <w:pStyle w:val="Prrafodelista"/>
        <w:rPr>
          <w:rFonts w:ascii="Palatino Linotype" w:hAnsi="Palatino Linotype" w:cs="Arial"/>
        </w:rPr>
      </w:pPr>
    </w:p>
    <w:p w:rsidR="00D76183" w:rsidRPr="00A8303A"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Y como consecuencia de las disposiciones legales contenidas en la Ley General de Transparencia y Acceso a la Información Pública, es que existe el mandato expreso de que en estos casos, de no existir la documentación que debió, por mandato de ley, generarse, es obligación de la autoridad emitir una declaratoria formal que debe reunir los requisitos señalados en la propia norma jurídica,</w:t>
      </w:r>
      <w:r w:rsidRPr="00A8303A">
        <w:rPr>
          <w:rStyle w:val="Refdenotaalpie"/>
          <w:rFonts w:ascii="Palatino Linotype" w:hAnsi="Palatino Linotype" w:cs="Arial"/>
        </w:rPr>
        <w:t xml:space="preserve"> </w:t>
      </w:r>
      <w:r>
        <w:rPr>
          <w:rStyle w:val="Refdenotaalpie"/>
          <w:rFonts w:ascii="Palatino Linotype" w:hAnsi="Palatino Linotype" w:cs="Arial"/>
        </w:rPr>
        <w:footnoteReference w:id="9"/>
      </w:r>
      <w:r w:rsidRPr="00A8303A">
        <w:rPr>
          <w:rFonts w:ascii="Palatino Linotype" w:hAnsi="Palatino Linotype" w:cs="Arial"/>
        </w:rPr>
        <w:t xml:space="preserve"> según puede apreciarse a continuación:</w:t>
      </w:r>
    </w:p>
    <w:p w:rsidR="00D76183" w:rsidRPr="00756545" w:rsidRDefault="00D76183" w:rsidP="00B355B6">
      <w:pPr>
        <w:ind w:left="567" w:right="1185"/>
        <w:jc w:val="both"/>
        <w:rPr>
          <w:rFonts w:ascii="Palatino Linotype" w:hAnsi="Palatino Linotype" w:cs="Arial"/>
          <w:i/>
        </w:rPr>
      </w:pPr>
      <w:r w:rsidRPr="00756545">
        <w:rPr>
          <w:rFonts w:ascii="Palatino Linotype" w:hAnsi="Palatino Linotype" w:cs="Arial"/>
          <w:i/>
        </w:rPr>
        <w:t>Artículo 19. Se presume que la información debe existir si se refiere a las facultades, competencias y funciones que los ordenamientos jurídicos aplicables otorgan a los sujetos obligados.</w:t>
      </w:r>
    </w:p>
    <w:p w:rsidR="00D76183" w:rsidRPr="00756545" w:rsidRDefault="00D76183" w:rsidP="00B355B6">
      <w:pPr>
        <w:ind w:left="567" w:right="1185"/>
        <w:jc w:val="both"/>
        <w:rPr>
          <w:rFonts w:ascii="Palatino Linotype" w:hAnsi="Palatino Linotype" w:cs="Arial"/>
          <w:i/>
        </w:rPr>
      </w:pPr>
      <w:r w:rsidRPr="00756545">
        <w:rPr>
          <w:rFonts w:ascii="Palatino Linotype" w:hAnsi="Palatino Linotype" w:cs="Arial"/>
          <w:i/>
        </w:rPr>
        <w:lastRenderedPageBreak/>
        <w:t>En los casos en que ciertas facultades, competencias o funciones no se hayan ejercido, se debe motivar la respuesta en función de las causas que motiven la inexistencia.</w:t>
      </w:r>
    </w:p>
    <w:p w:rsidR="00D76183" w:rsidRPr="00756545" w:rsidRDefault="00D76183" w:rsidP="00B355B6">
      <w:pPr>
        <w:ind w:left="567" w:right="1185"/>
        <w:jc w:val="both"/>
        <w:rPr>
          <w:rFonts w:ascii="Palatino Linotype" w:hAnsi="Palatino Linotype" w:cs="Arial"/>
          <w:i/>
        </w:rPr>
      </w:pPr>
      <w:r w:rsidRPr="00756545">
        <w:rPr>
          <w:rFonts w:ascii="Palatino Linotype" w:hAnsi="Palatino Linotype" w:cs="Arial"/>
          <w:i/>
        </w:rPr>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Y siendo además que una de las propiedades o características de la información pública es precisamente su condición de verificabilidad, pero que eso no depende de este Órgano Garante, sino de las propias personas, es que dicha declaratoria es un medio al que debe acceder el </w:t>
      </w:r>
      <w:r w:rsidR="00A050FA">
        <w:rPr>
          <w:rFonts w:ascii="Palatino Linotype" w:hAnsi="Palatino Linotype" w:cs="Arial"/>
        </w:rPr>
        <w:t>señor</w:t>
      </w:r>
      <w:r w:rsidRPr="00756545">
        <w:rPr>
          <w:rFonts w:ascii="Palatino Linotype" w:hAnsi="Palatino Linotype" w:cs="Arial"/>
          <w:b/>
        </w:rPr>
        <w:t xml:space="preserve"> </w:t>
      </w:r>
      <w:proofErr w:type="spellStart"/>
      <w:r w:rsidR="00140E76">
        <w:rPr>
          <w:rFonts w:ascii="Palatino Linotype" w:hAnsi="Palatino Linotype" w:cs="Arial"/>
          <w:b/>
        </w:rPr>
        <w:t>xxxxxx</w:t>
      </w:r>
      <w:proofErr w:type="spellEnd"/>
      <w:r w:rsidR="00140E76">
        <w:rPr>
          <w:rFonts w:ascii="Palatino Linotype" w:hAnsi="Palatino Linotype" w:cs="Arial"/>
          <w:b/>
        </w:rPr>
        <w:t xml:space="preserve"> </w:t>
      </w:r>
      <w:r>
        <w:rPr>
          <w:rFonts w:ascii="Palatino Linotype" w:hAnsi="Palatino Linotype" w:cs="Arial"/>
        </w:rPr>
        <w:t>de tal forma que el derecho de acceso a la información se constituya en un derecho que, en su caso, facilite el ejercicio de otros derechos, entre ellos el de opinar sobre los asuntos públicos tanto como el de iniciar los mecanismos de control correspondientes sobre la actuación de los agentes del Estado si, desde su punto de vista, se considere que se hayan incumplido obligaciones legales o se simulen actos jurídicos, todo ello materia de otro tipo de procedimientos legales.</w:t>
      </w:r>
    </w:p>
    <w:p w:rsidR="00D76183" w:rsidRDefault="00D007E3" w:rsidP="00C7654F">
      <w:pPr>
        <w:pStyle w:val="Ttulo1"/>
      </w:pPr>
      <w:bookmarkStart w:id="6" w:name="_Toc454206823"/>
      <w:bookmarkStart w:id="7" w:name="_Toc522537037"/>
      <w:r>
        <w:t>VII</w:t>
      </w:r>
      <w:r w:rsidR="00D76183" w:rsidRPr="00310096">
        <w:t>. Conclusión.</w:t>
      </w:r>
      <w:bookmarkEnd w:id="6"/>
      <w:bookmarkEnd w:id="7"/>
    </w:p>
    <w:p w:rsidR="00B355B6" w:rsidRPr="00B355B6" w:rsidRDefault="00B355B6" w:rsidP="00B355B6"/>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hAnsi="Palatino Linotype" w:cs="Arial"/>
        </w:rPr>
        <w:t xml:space="preserve"> </w:t>
      </w:r>
      <w:r>
        <w:rPr>
          <w:rFonts w:ascii="Palatino Linotype" w:hAnsi="Palatino Linotype" w:cs="Arial"/>
        </w:rPr>
        <w:t>E</w:t>
      </w:r>
      <w:r w:rsidRPr="00826999">
        <w:rPr>
          <w:rFonts w:ascii="Palatino Linotype" w:hAnsi="Palatino Linotype" w:cs="Arial"/>
        </w:rPr>
        <w:t>n razón a las consideraciones antes señaladas es que no puedo compartir el sentido de la reso</w:t>
      </w:r>
      <w:r w:rsidR="00476C7B">
        <w:rPr>
          <w:rFonts w:ascii="Palatino Linotype" w:hAnsi="Palatino Linotype" w:cs="Arial"/>
        </w:rPr>
        <w:t xml:space="preserve">lución adoptada que se CONFIRMA la respuesta del SUJETO OBLIGADO en </w:t>
      </w:r>
      <w:r w:rsidR="00E205B6">
        <w:rPr>
          <w:rFonts w:ascii="Palatino Linotype" w:hAnsi="Palatino Linotype" w:cs="Arial"/>
        </w:rPr>
        <w:t xml:space="preserve"> el recurso de revisión</w:t>
      </w:r>
      <w:r>
        <w:rPr>
          <w:rFonts w:ascii="Palatino Linotype" w:hAnsi="Palatino Linotype" w:cs="Arial"/>
        </w:rPr>
        <w:t>, por lo que voté</w:t>
      </w:r>
      <w:r w:rsidRPr="00826999">
        <w:rPr>
          <w:rFonts w:ascii="Palatino Linotype" w:hAnsi="Palatino Linotype" w:cs="Arial"/>
        </w:rPr>
        <w:t xml:space="preserve"> en contra, motivando el presente voto disidente</w:t>
      </w:r>
      <w:r>
        <w:rPr>
          <w:rFonts w:ascii="Palatino Linotype" w:hAnsi="Palatino Linotype" w:cs="Arial"/>
        </w:rPr>
        <w:t xml:space="preserve">, haciendo del conocimiento del </w:t>
      </w:r>
      <w:r w:rsidR="007527C4">
        <w:rPr>
          <w:rFonts w:ascii="Palatino Linotype" w:hAnsi="Palatino Linotype" w:cs="Arial"/>
        </w:rPr>
        <w:t xml:space="preserve">señor </w:t>
      </w:r>
      <w:proofErr w:type="spellStart"/>
      <w:r w:rsidR="0062212D">
        <w:rPr>
          <w:rFonts w:ascii="Palatino Linotype" w:hAnsi="Palatino Linotype" w:cs="Arial"/>
          <w:b/>
        </w:rPr>
        <w:t>xxxxxxxxxxx</w:t>
      </w:r>
      <w:proofErr w:type="spellEnd"/>
      <w:r w:rsidR="00DA3782">
        <w:rPr>
          <w:rFonts w:ascii="Palatino Linotype" w:hAnsi="Palatino Linotype" w:cs="Arial"/>
        </w:rPr>
        <w:t xml:space="preserve"> </w:t>
      </w:r>
      <w:r>
        <w:rPr>
          <w:rFonts w:ascii="Palatino Linotype" w:hAnsi="Palatino Linotype" w:cs="Arial"/>
        </w:rPr>
        <w:t>que por tratarse de una resolución que confirma la inexistencia de la informació</w:t>
      </w:r>
      <w:r w:rsidR="00E205B6">
        <w:rPr>
          <w:rFonts w:ascii="Palatino Linotype" w:hAnsi="Palatino Linotype" w:cs="Arial"/>
        </w:rPr>
        <w:t>n</w:t>
      </w:r>
      <w:r>
        <w:rPr>
          <w:rFonts w:ascii="Palatino Linotype" w:hAnsi="Palatino Linotype" w:cs="Arial"/>
        </w:rPr>
        <w:t xml:space="preserve">, por </w:t>
      </w:r>
      <w:r>
        <w:rPr>
          <w:rFonts w:ascii="Palatino Linotype" w:hAnsi="Palatino Linotype" w:cs="Arial"/>
        </w:rPr>
        <w:lastRenderedPageBreak/>
        <w:t>actualizarse las condiciones precisadas por la fracción II del artículo 160 de la Ley General de Transparencia y Acceso a la Información Pública y 196 de la Ley de Transparencia y Acceso a la Información Pública del Estado de México y Municipios en virtud de que se sigue negando el acceso a la información pública requerida, se encuentra en condiciones de acudir ante el Instituto Nacional de Transparencia, Acceso a la Información Pública y Protección de Datos Personales mediante el recurso de inconformidad que puede iniciarse a través de la Plataforma Nacional de Transparencia.</w:t>
      </w:r>
    </w:p>
    <w:p w:rsidR="00603FD9" w:rsidRPr="00603FD9" w:rsidRDefault="00603FD9" w:rsidP="00603F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D76183" w:rsidRPr="00826999" w:rsidRDefault="00D76183" w:rsidP="00D76183">
      <w:pPr>
        <w:pStyle w:val="Prrafodelista"/>
        <w:spacing w:line="360" w:lineRule="auto"/>
        <w:rPr>
          <w:rFonts w:ascii="Palatino Linotype" w:hAnsi="Palatino Linotype" w:cs="Arial"/>
        </w:rPr>
      </w:pPr>
    </w:p>
    <w:p w:rsidR="00D76183" w:rsidRPr="00826999" w:rsidRDefault="00D76183" w:rsidP="00D76183">
      <w:pPr>
        <w:spacing w:line="360" w:lineRule="auto"/>
        <w:jc w:val="center"/>
        <w:rPr>
          <w:rFonts w:ascii="Palatino Linotype" w:eastAsia="Arial" w:hAnsi="Palatino Linotype" w:cs="Arial"/>
          <w:b/>
          <w:color w:val="000000"/>
          <w:lang w:eastAsia="es-MX"/>
        </w:rPr>
      </w:pPr>
      <w:r w:rsidRPr="00826999">
        <w:rPr>
          <w:rFonts w:ascii="Palatino Linotype" w:eastAsia="Arial" w:hAnsi="Palatino Linotype" w:cs="Arial"/>
          <w:b/>
          <w:color w:val="000000"/>
          <w:lang w:eastAsia="es-MX"/>
        </w:rPr>
        <w:t>JOSÉ GUADALUPE LUNA HERNÁNDEZ</w:t>
      </w:r>
    </w:p>
    <w:p w:rsidR="00D76183" w:rsidRDefault="00D76183" w:rsidP="00D76183">
      <w:pPr>
        <w:spacing w:line="360" w:lineRule="auto"/>
        <w:jc w:val="center"/>
        <w:rPr>
          <w:rFonts w:ascii="Palatino Linotype" w:eastAsia="Arial" w:hAnsi="Palatino Linotype" w:cs="Arial"/>
          <w:b/>
          <w:color w:val="000000"/>
          <w:lang w:eastAsia="es-MX"/>
        </w:rPr>
      </w:pPr>
      <w:r w:rsidRPr="00826999">
        <w:rPr>
          <w:rFonts w:ascii="Palatino Linotype" w:eastAsia="Arial" w:hAnsi="Palatino Linotype" w:cs="Arial"/>
          <w:b/>
          <w:color w:val="000000"/>
          <w:lang w:eastAsia="es-MX"/>
        </w:rPr>
        <w:t>COMISIONADO</w:t>
      </w:r>
    </w:p>
    <w:p w:rsidR="00B355B6" w:rsidRDefault="00B355B6" w:rsidP="00D76183">
      <w:pPr>
        <w:spacing w:line="360" w:lineRule="auto"/>
        <w:jc w:val="center"/>
        <w:rPr>
          <w:rFonts w:ascii="Palatino Linotype" w:eastAsia="Arial" w:hAnsi="Palatino Linotype" w:cs="Arial"/>
          <w:b/>
          <w:color w:val="000000"/>
          <w:lang w:eastAsia="es-MX"/>
        </w:rPr>
      </w:pPr>
      <w:r>
        <w:rPr>
          <w:rFonts w:ascii="Palatino Linotype" w:eastAsia="Arial" w:hAnsi="Palatino Linotype" w:cs="Arial"/>
          <w:b/>
          <w:color w:val="000000"/>
          <w:lang w:eastAsia="es-MX"/>
        </w:rPr>
        <w:t>(Rúbrica)</w:t>
      </w:r>
    </w:p>
    <w:p w:rsidR="00B355B6" w:rsidRDefault="00B355B6" w:rsidP="00D76183">
      <w:pPr>
        <w:spacing w:line="360" w:lineRule="auto"/>
        <w:jc w:val="center"/>
        <w:rPr>
          <w:rFonts w:ascii="Palatino Linotype" w:eastAsia="Arial" w:hAnsi="Palatino Linotype" w:cs="Arial"/>
          <w:b/>
          <w:color w:val="000000"/>
          <w:lang w:eastAsia="es-MX"/>
        </w:rPr>
      </w:pPr>
    </w:p>
    <w:p w:rsidR="00B355B6" w:rsidRPr="00B355B6" w:rsidRDefault="00B355B6" w:rsidP="00B355B6">
      <w:pPr>
        <w:spacing w:line="360" w:lineRule="auto"/>
        <w:rPr>
          <w:rFonts w:ascii="Palatino Linotype" w:eastAsia="Arial" w:hAnsi="Palatino Linotype" w:cs="Arial"/>
          <w:b/>
          <w:color w:val="000000"/>
          <w:sz w:val="20"/>
          <w:szCs w:val="20"/>
          <w:lang w:eastAsia="es-MX"/>
        </w:rPr>
      </w:pPr>
      <w:r w:rsidRPr="00B355B6">
        <w:rPr>
          <w:rFonts w:ascii="Palatino Linotype" w:eastAsia="Arial" w:hAnsi="Palatino Linotype" w:cs="Arial"/>
          <w:b/>
          <w:color w:val="000000"/>
          <w:sz w:val="20"/>
          <w:szCs w:val="20"/>
          <w:lang w:eastAsia="es-MX"/>
        </w:rPr>
        <w:t>JGLH/IEV</w:t>
      </w:r>
    </w:p>
    <w:sectPr w:rsidR="00B355B6" w:rsidRPr="00B355B6" w:rsidSect="00BE5247">
      <w:headerReference w:type="even" r:id="rId8"/>
      <w:headerReference w:type="default" r:id="rId9"/>
      <w:footerReference w:type="default" r:id="rId10"/>
      <w:headerReference w:type="first" r:id="rId11"/>
      <w:pgSz w:w="12240" w:h="15840" w:code="1"/>
      <w:pgMar w:top="2495"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2B" w:rsidRDefault="005C212B" w:rsidP="00ED7332">
      <w:r>
        <w:separator/>
      </w:r>
    </w:p>
  </w:endnote>
  <w:endnote w:type="continuationSeparator" w:id="0">
    <w:p w:rsidR="005C212B" w:rsidRDefault="005C212B"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308B2">
              <w:rPr>
                <w:rFonts w:ascii="Palatino Linotype" w:hAnsi="Palatino Linotype"/>
                <w:b/>
                <w:bCs/>
                <w:noProof/>
                <w:sz w:val="20"/>
                <w:szCs w:val="20"/>
              </w:rPr>
              <w:t>20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308B2">
              <w:rPr>
                <w:rFonts w:ascii="Palatino Linotype" w:hAnsi="Palatino Linotype"/>
                <w:b/>
                <w:bCs/>
                <w:noProof/>
                <w:sz w:val="20"/>
                <w:szCs w:val="20"/>
              </w:rPr>
              <w:t>20</w:t>
            </w:r>
            <w:r w:rsidRPr="0052203D">
              <w:rPr>
                <w:rFonts w:ascii="Palatino Linotype" w:hAnsi="Palatino Linotype"/>
                <w:b/>
                <w:bCs/>
                <w:sz w:val="20"/>
                <w:szCs w:val="20"/>
              </w:rPr>
              <w:fldChar w:fldCharType="end"/>
            </w:r>
          </w:p>
        </w:sdtContent>
      </w:sdt>
    </w:sdtContent>
  </w:sdt>
  <w:p w:rsidR="00951E8B" w:rsidRDefault="005C21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2B" w:rsidRDefault="005C212B" w:rsidP="00ED7332">
      <w:r>
        <w:separator/>
      </w:r>
    </w:p>
  </w:footnote>
  <w:footnote w:type="continuationSeparator" w:id="0">
    <w:p w:rsidR="005C212B" w:rsidRDefault="005C212B" w:rsidP="00ED7332">
      <w:r>
        <w:continuationSeparator/>
      </w:r>
    </w:p>
  </w:footnote>
  <w:footnote w:id="1">
    <w:p w:rsidR="00D76183" w:rsidRDefault="00D76183" w:rsidP="00D76183">
      <w:pPr>
        <w:pStyle w:val="Textonotapie"/>
        <w:jc w:val="both"/>
      </w:pPr>
      <w:r>
        <w:rPr>
          <w:rStyle w:val="Refdenotaalpie"/>
        </w:rPr>
        <w:footnoteRef/>
      </w:r>
      <w:r>
        <w:t xml:space="preserve"> GONZÁLEZ FERNÁNDEZ, José Antonio. “La Seguridad Pública en México” en PEÑALOZA, Pedro José y GARZA SALINAS, Mario A., </w:t>
      </w:r>
      <w:proofErr w:type="spellStart"/>
      <w:r>
        <w:t>coords</w:t>
      </w:r>
      <w:proofErr w:type="spellEnd"/>
      <w:r>
        <w:t xml:space="preserve">. </w:t>
      </w:r>
      <w:r w:rsidRPr="002B5480">
        <w:rPr>
          <w:i/>
        </w:rPr>
        <w:t>Los Desafíos de la Seguridad Pública en México</w:t>
      </w:r>
      <w:r>
        <w:t xml:space="preserve">. México, Ed. Procuraduría General de la República e Instituto de Investigaciones Jurídicas, UNAM. 2002. Pág. 126. Disponible en: </w:t>
      </w:r>
      <w:hyperlink r:id="rId1" w:history="1">
        <w:r w:rsidRPr="00B46364">
          <w:rPr>
            <w:rStyle w:val="Hipervnculo"/>
          </w:rPr>
          <w:t>http://biblio.juridicas.unam.mx/libros/1/419/12.pdf</w:t>
        </w:r>
      </w:hyperlink>
      <w:r>
        <w:t xml:space="preserve"> </w:t>
      </w:r>
    </w:p>
  </w:footnote>
  <w:footnote w:id="2">
    <w:p w:rsidR="00D76183" w:rsidRDefault="00D76183" w:rsidP="00D76183">
      <w:pPr>
        <w:pStyle w:val="Textonotapie"/>
      </w:pPr>
      <w:r>
        <w:rPr>
          <w:rStyle w:val="Refdenotaalpie"/>
        </w:rPr>
        <w:footnoteRef/>
      </w:r>
      <w:r>
        <w:t xml:space="preserve"> </w:t>
      </w:r>
      <w:r w:rsidRPr="00D128AC">
        <w:rPr>
          <w:i/>
        </w:rPr>
        <w:t>Ibídem</w:t>
      </w:r>
      <w:r>
        <w:t>. Pág. 128.</w:t>
      </w:r>
    </w:p>
  </w:footnote>
  <w:footnote w:id="3">
    <w:p w:rsidR="00D76183" w:rsidRDefault="00D76183" w:rsidP="00D76183">
      <w:pPr>
        <w:pStyle w:val="Textonotapie"/>
      </w:pPr>
      <w:r>
        <w:rPr>
          <w:rStyle w:val="Refdenotaalpie"/>
        </w:rPr>
        <w:footnoteRef/>
      </w:r>
      <w:r>
        <w:t xml:space="preserve"> Instituto de Transparencia, acceso a la Información Pública y Protección de Datos Personales del Estado de México y Municipios. Recurso de revisión </w:t>
      </w:r>
      <w:r w:rsidRPr="00826999">
        <w:rPr>
          <w:rFonts w:ascii="Palatino Linotype" w:hAnsi="Palatino Linotype" w:cs="Arial"/>
          <w:b/>
          <w:sz w:val="24"/>
          <w:szCs w:val="24"/>
        </w:rPr>
        <w:t>0</w:t>
      </w:r>
      <w:r>
        <w:rPr>
          <w:rFonts w:ascii="Palatino Linotype" w:hAnsi="Palatino Linotype" w:cs="Arial"/>
          <w:b/>
          <w:sz w:val="24"/>
          <w:szCs w:val="24"/>
        </w:rPr>
        <w:t>0723</w:t>
      </w:r>
      <w:r w:rsidRPr="00826999">
        <w:rPr>
          <w:rFonts w:ascii="Palatino Linotype" w:hAnsi="Palatino Linotype" w:cs="Arial"/>
          <w:b/>
          <w:sz w:val="24"/>
          <w:szCs w:val="24"/>
        </w:rPr>
        <w:t>/INFOEM/IP/RR/201</w:t>
      </w:r>
      <w:r>
        <w:rPr>
          <w:rFonts w:ascii="Palatino Linotype" w:hAnsi="Palatino Linotype" w:cs="Arial"/>
          <w:b/>
          <w:sz w:val="24"/>
          <w:szCs w:val="24"/>
        </w:rPr>
        <w:t>6.</w:t>
      </w:r>
    </w:p>
  </w:footnote>
  <w:footnote w:id="4">
    <w:p w:rsidR="00D76183" w:rsidRDefault="00D76183" w:rsidP="00D76183">
      <w:pPr>
        <w:pStyle w:val="Textonotapie"/>
      </w:pPr>
      <w:r>
        <w:rPr>
          <w:rStyle w:val="Refdenotaalpie"/>
        </w:rPr>
        <w:footnoteRef/>
      </w:r>
      <w:r>
        <w:t xml:space="preserve"> Instituto de Transparencia, acceso a la Información Pública y Protección de Datos Personales del Estado de México y Municipios. Recursos de revisión </w:t>
      </w:r>
      <w:r w:rsidRPr="00331BE3">
        <w:rPr>
          <w:rFonts w:ascii="Palatino Linotype" w:hAnsi="Palatino Linotype" w:cs="Arial"/>
          <w:sz w:val="24"/>
          <w:szCs w:val="24"/>
        </w:rPr>
        <w:t>01129/INFOEM/IP/RR/2015 y 01130/INFOEM/AD/RR/2015</w:t>
      </w:r>
      <w:r>
        <w:rPr>
          <w:rFonts w:ascii="Palatino Linotype" w:hAnsi="Palatino Linotype" w:cs="Arial"/>
          <w:sz w:val="24"/>
          <w:szCs w:val="24"/>
        </w:rPr>
        <w:t xml:space="preserve"> (acumulados).</w:t>
      </w:r>
    </w:p>
  </w:footnote>
  <w:footnote w:id="5">
    <w:p w:rsidR="00D76183" w:rsidRDefault="00D76183" w:rsidP="00D76183">
      <w:pPr>
        <w:pStyle w:val="Textonotapie"/>
      </w:pPr>
      <w:r>
        <w:rPr>
          <w:rStyle w:val="Refdenotaalpie"/>
        </w:rPr>
        <w:footnoteRef/>
      </w:r>
      <w:r>
        <w:t xml:space="preserve"> Consultado en : </w:t>
      </w:r>
      <w:hyperlink r:id="rId2" w:history="1">
        <w:r w:rsidRPr="007F70AF">
          <w:rPr>
            <w:rStyle w:val="Hipervnculo"/>
          </w:rPr>
          <w:t>http://legislacion.edomex.gob.mx/sites/legislacion.edomex.gob.mx/files/files/pdf/gct/2011/oct193.PDF</w:t>
        </w:r>
      </w:hyperlink>
      <w:r>
        <w:t xml:space="preserve"> </w:t>
      </w:r>
    </w:p>
  </w:footnote>
  <w:footnote w:id="6">
    <w:p w:rsidR="00D76183" w:rsidRDefault="00D76183" w:rsidP="00D76183">
      <w:pPr>
        <w:pStyle w:val="Textocomentario"/>
        <w:jc w:val="both"/>
      </w:pPr>
      <w:r>
        <w:rPr>
          <w:rStyle w:val="Refdenotaalpie"/>
        </w:rPr>
        <w:footnoteRef/>
      </w:r>
      <w: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7">
    <w:p w:rsidR="00D76183" w:rsidRDefault="00D76183" w:rsidP="00D76183">
      <w:pPr>
        <w:pStyle w:val="Textonotapie"/>
      </w:pPr>
      <w:r>
        <w:rPr>
          <w:rStyle w:val="Refdenotaalpie"/>
        </w:rPr>
        <w:footnoteRef/>
      </w:r>
      <w:r>
        <w:t xml:space="preserve"> Comisión Interamericana de Derechos Humanos. Relatoría Especial para la Libertad de Expresión. El derecho de acceso a la información pública en el marco jurídico interamericano. 2ª. Edición, OEA, 2012. Párr. 41.</w:t>
      </w:r>
    </w:p>
  </w:footnote>
  <w:footnote w:id="8">
    <w:p w:rsidR="00D76183" w:rsidRDefault="00D76183" w:rsidP="00D76183">
      <w:pPr>
        <w:pStyle w:val="Textonotapie"/>
      </w:pPr>
      <w:r>
        <w:rPr>
          <w:rStyle w:val="Refdenotaalpie"/>
        </w:rPr>
        <w:footnoteRef/>
      </w:r>
      <w:r>
        <w:t xml:space="preserve"> </w:t>
      </w:r>
      <w:r w:rsidRPr="00756545">
        <w:rPr>
          <w:i/>
        </w:rPr>
        <w:t>Ibídem</w:t>
      </w:r>
      <w:r>
        <w:t>. Párr. 12.</w:t>
      </w:r>
    </w:p>
  </w:footnote>
  <w:footnote w:id="9">
    <w:p w:rsidR="00D76183" w:rsidRDefault="00D76183" w:rsidP="00D76183">
      <w:pPr>
        <w:pStyle w:val="Textonotapie"/>
      </w:pPr>
      <w:r>
        <w:rPr>
          <w:rStyle w:val="Refdenotaalpie"/>
        </w:rPr>
        <w:footnoteRef/>
      </w:r>
      <w:r>
        <w:t xml:space="preserve"> Lo anterior es incluso un requerimiento del sistema interamericano de protección a los derechos humanos. </w:t>
      </w:r>
      <w:r w:rsidRPr="00756545">
        <w:rPr>
          <w:i/>
        </w:rPr>
        <w:t>Ibídem</w:t>
      </w:r>
      <w:r>
        <w:t xml:space="preserve">. Párr. 113.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E9" w:rsidRDefault="005C212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29" o:spid="_x0000_s2066" type="#_x0000_t136" style="position:absolute;margin-left:0;margin-top:0;width:538.05pt;height:84.9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C212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30" o:spid="_x0000_s2067" type="#_x0000_t136" style="position:absolute;margin-left:0;margin-top:0;width:538.05pt;height:84.95pt;rotation:315;z-index:-251653120;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E9" w:rsidRDefault="005C212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28" o:spid="_x0000_s2065" type="#_x0000_t136" style="position:absolute;margin-left:0;margin-top:0;width:538.05pt;height:84.95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213"/>
    <w:multiLevelType w:val="hybridMultilevel"/>
    <w:tmpl w:val="70365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0B5694"/>
    <w:multiLevelType w:val="hybridMultilevel"/>
    <w:tmpl w:val="1D5CBC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15:restartNumberingAfterBreak="0">
    <w:nsid w:val="0A11719A"/>
    <w:multiLevelType w:val="hybridMultilevel"/>
    <w:tmpl w:val="3A2654EE"/>
    <w:lvl w:ilvl="0" w:tplc="9AC4D98A">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17A16"/>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52DC5"/>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03FF0"/>
    <w:multiLevelType w:val="hybridMultilevel"/>
    <w:tmpl w:val="5FFEF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B8E2722"/>
    <w:multiLevelType w:val="hybridMultilevel"/>
    <w:tmpl w:val="A79A6DFC"/>
    <w:lvl w:ilvl="0" w:tplc="B8148920">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82D27"/>
    <w:multiLevelType w:val="hybridMultilevel"/>
    <w:tmpl w:val="272E8B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C5D89"/>
    <w:multiLevelType w:val="hybridMultilevel"/>
    <w:tmpl w:val="4C82800E"/>
    <w:lvl w:ilvl="0" w:tplc="38461EBE">
      <w:start w:val="1"/>
      <w:numFmt w:val="decimal"/>
      <w:lvlText w:val="%1."/>
      <w:lvlJc w:val="left"/>
      <w:pPr>
        <w:ind w:left="426" w:hanging="360"/>
      </w:pPr>
      <w:rPr>
        <w:i w:val="0"/>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B1DC6"/>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814E3A"/>
    <w:multiLevelType w:val="hybridMultilevel"/>
    <w:tmpl w:val="A810F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4352B7"/>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79395F"/>
    <w:multiLevelType w:val="hybridMultilevel"/>
    <w:tmpl w:val="C4B6F8CE"/>
    <w:lvl w:ilvl="0" w:tplc="EAA4304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3A7DA8"/>
    <w:multiLevelType w:val="hybridMultilevel"/>
    <w:tmpl w:val="27B258C0"/>
    <w:lvl w:ilvl="0" w:tplc="C4487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26"/>
  </w:num>
  <w:num w:numId="4">
    <w:abstractNumId w:val="10"/>
  </w:num>
  <w:num w:numId="5">
    <w:abstractNumId w:val="15"/>
  </w:num>
  <w:num w:numId="6">
    <w:abstractNumId w:val="2"/>
  </w:num>
  <w:num w:numId="7">
    <w:abstractNumId w:val="18"/>
  </w:num>
  <w:num w:numId="8">
    <w:abstractNumId w:val="27"/>
  </w:num>
  <w:num w:numId="9">
    <w:abstractNumId w:val="7"/>
  </w:num>
  <w:num w:numId="10">
    <w:abstractNumId w:val="12"/>
  </w:num>
  <w:num w:numId="11">
    <w:abstractNumId w:val="5"/>
  </w:num>
  <w:num w:numId="12">
    <w:abstractNumId w:val="9"/>
  </w:num>
  <w:num w:numId="13">
    <w:abstractNumId w:val="6"/>
  </w:num>
  <w:num w:numId="14">
    <w:abstractNumId w:val="23"/>
  </w:num>
  <w:num w:numId="15">
    <w:abstractNumId w:val="0"/>
  </w:num>
  <w:num w:numId="16">
    <w:abstractNumId w:val="4"/>
  </w:num>
  <w:num w:numId="17">
    <w:abstractNumId w:val="22"/>
  </w:num>
  <w:num w:numId="18">
    <w:abstractNumId w:val="14"/>
  </w:num>
  <w:num w:numId="19">
    <w:abstractNumId w:val="16"/>
  </w:num>
  <w:num w:numId="20">
    <w:abstractNumId w:val="13"/>
  </w:num>
  <w:num w:numId="21">
    <w:abstractNumId w:val="8"/>
  </w:num>
  <w:num w:numId="22">
    <w:abstractNumId w:val="1"/>
  </w:num>
  <w:num w:numId="23">
    <w:abstractNumId w:val="17"/>
  </w:num>
  <w:num w:numId="24">
    <w:abstractNumId w:val="25"/>
  </w:num>
  <w:num w:numId="25">
    <w:abstractNumId w:val="24"/>
  </w:num>
  <w:num w:numId="26">
    <w:abstractNumId w:val="20"/>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251CF"/>
    <w:rsid w:val="000269DA"/>
    <w:rsid w:val="000350F9"/>
    <w:rsid w:val="00061EA0"/>
    <w:rsid w:val="00075DCE"/>
    <w:rsid w:val="00086602"/>
    <w:rsid w:val="000B0E25"/>
    <w:rsid w:val="000C0AF3"/>
    <w:rsid w:val="000E1C55"/>
    <w:rsid w:val="000F2AC8"/>
    <w:rsid w:val="000F373C"/>
    <w:rsid w:val="00103510"/>
    <w:rsid w:val="001355C7"/>
    <w:rsid w:val="00140E76"/>
    <w:rsid w:val="0015416E"/>
    <w:rsid w:val="0016141F"/>
    <w:rsid w:val="00180997"/>
    <w:rsid w:val="00191D5F"/>
    <w:rsid w:val="001A2F06"/>
    <w:rsid w:val="001D1916"/>
    <w:rsid w:val="001E2E42"/>
    <w:rsid w:val="00203272"/>
    <w:rsid w:val="002252EC"/>
    <w:rsid w:val="00260645"/>
    <w:rsid w:val="002A0A08"/>
    <w:rsid w:val="00315F6D"/>
    <w:rsid w:val="003178F6"/>
    <w:rsid w:val="00364B0E"/>
    <w:rsid w:val="003672A4"/>
    <w:rsid w:val="003765B0"/>
    <w:rsid w:val="003B6125"/>
    <w:rsid w:val="003D0A39"/>
    <w:rsid w:val="00416BE5"/>
    <w:rsid w:val="004202D4"/>
    <w:rsid w:val="00421FE8"/>
    <w:rsid w:val="004252DB"/>
    <w:rsid w:val="00430106"/>
    <w:rsid w:val="004308B2"/>
    <w:rsid w:val="00442DE9"/>
    <w:rsid w:val="00443667"/>
    <w:rsid w:val="004466B5"/>
    <w:rsid w:val="00476C7B"/>
    <w:rsid w:val="00495E68"/>
    <w:rsid w:val="004A2E81"/>
    <w:rsid w:val="004B1E60"/>
    <w:rsid w:val="004B2633"/>
    <w:rsid w:val="004C4360"/>
    <w:rsid w:val="00500F30"/>
    <w:rsid w:val="0050137A"/>
    <w:rsid w:val="00503141"/>
    <w:rsid w:val="00504BED"/>
    <w:rsid w:val="00515230"/>
    <w:rsid w:val="00515941"/>
    <w:rsid w:val="00521DC9"/>
    <w:rsid w:val="0052203D"/>
    <w:rsid w:val="00574848"/>
    <w:rsid w:val="005B19F1"/>
    <w:rsid w:val="005C212B"/>
    <w:rsid w:val="00603FD9"/>
    <w:rsid w:val="006100FF"/>
    <w:rsid w:val="00614828"/>
    <w:rsid w:val="0062212D"/>
    <w:rsid w:val="0063753D"/>
    <w:rsid w:val="0064089D"/>
    <w:rsid w:val="00651B65"/>
    <w:rsid w:val="006848ED"/>
    <w:rsid w:val="00696E58"/>
    <w:rsid w:val="006A1485"/>
    <w:rsid w:val="006B62BF"/>
    <w:rsid w:val="006D0124"/>
    <w:rsid w:val="0073333C"/>
    <w:rsid w:val="00735D75"/>
    <w:rsid w:val="007428B9"/>
    <w:rsid w:val="007527C4"/>
    <w:rsid w:val="00765798"/>
    <w:rsid w:val="007737DD"/>
    <w:rsid w:val="00775EAC"/>
    <w:rsid w:val="0077794D"/>
    <w:rsid w:val="007849D5"/>
    <w:rsid w:val="007A761C"/>
    <w:rsid w:val="007A76AC"/>
    <w:rsid w:val="007A79F6"/>
    <w:rsid w:val="007C6138"/>
    <w:rsid w:val="007F6D31"/>
    <w:rsid w:val="00804E8A"/>
    <w:rsid w:val="00817744"/>
    <w:rsid w:val="00835B3B"/>
    <w:rsid w:val="00876E43"/>
    <w:rsid w:val="00880EB4"/>
    <w:rsid w:val="008858C0"/>
    <w:rsid w:val="0089349F"/>
    <w:rsid w:val="008B7D1A"/>
    <w:rsid w:val="008D51D8"/>
    <w:rsid w:val="008F1F4E"/>
    <w:rsid w:val="0093158C"/>
    <w:rsid w:val="0099042C"/>
    <w:rsid w:val="009A3C86"/>
    <w:rsid w:val="009B3109"/>
    <w:rsid w:val="00A02E1D"/>
    <w:rsid w:val="00A0509E"/>
    <w:rsid w:val="00A050FA"/>
    <w:rsid w:val="00A22833"/>
    <w:rsid w:val="00A26494"/>
    <w:rsid w:val="00AD338A"/>
    <w:rsid w:val="00AE112C"/>
    <w:rsid w:val="00AE1FD6"/>
    <w:rsid w:val="00AE4F5B"/>
    <w:rsid w:val="00B12F7D"/>
    <w:rsid w:val="00B35501"/>
    <w:rsid w:val="00B355B6"/>
    <w:rsid w:val="00B847C6"/>
    <w:rsid w:val="00BA7541"/>
    <w:rsid w:val="00BC23A5"/>
    <w:rsid w:val="00BE5247"/>
    <w:rsid w:val="00BF450C"/>
    <w:rsid w:val="00BF6539"/>
    <w:rsid w:val="00C06B03"/>
    <w:rsid w:val="00C21B57"/>
    <w:rsid w:val="00C67F3A"/>
    <w:rsid w:val="00C7654F"/>
    <w:rsid w:val="00C8203D"/>
    <w:rsid w:val="00CA1425"/>
    <w:rsid w:val="00CB1A7C"/>
    <w:rsid w:val="00CB3643"/>
    <w:rsid w:val="00CC5D1D"/>
    <w:rsid w:val="00CD3F2D"/>
    <w:rsid w:val="00CE6301"/>
    <w:rsid w:val="00D007E3"/>
    <w:rsid w:val="00D212CB"/>
    <w:rsid w:val="00D420C4"/>
    <w:rsid w:val="00D570BC"/>
    <w:rsid w:val="00D76183"/>
    <w:rsid w:val="00D80DA7"/>
    <w:rsid w:val="00DA3782"/>
    <w:rsid w:val="00DD483D"/>
    <w:rsid w:val="00E043DE"/>
    <w:rsid w:val="00E05E7E"/>
    <w:rsid w:val="00E205B6"/>
    <w:rsid w:val="00E22FCA"/>
    <w:rsid w:val="00E4540E"/>
    <w:rsid w:val="00ED5776"/>
    <w:rsid w:val="00ED7332"/>
    <w:rsid w:val="00EF1C34"/>
    <w:rsid w:val="00F1175E"/>
    <w:rsid w:val="00F156BA"/>
    <w:rsid w:val="00F159A9"/>
    <w:rsid w:val="00F3413E"/>
    <w:rsid w:val="00F87A1E"/>
    <w:rsid w:val="00F978EB"/>
    <w:rsid w:val="00FB1913"/>
    <w:rsid w:val="00FD3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C7654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Palatino Linotype" w:eastAsiaTheme="majorEastAsia" w:hAnsi="Palatino Linotype" w:cs="Arial"/>
      <w:b/>
    </w:rPr>
  </w:style>
  <w:style w:type="paragraph" w:styleId="Ttulo2">
    <w:name w:val="heading 2"/>
    <w:basedOn w:val="Normal"/>
    <w:next w:val="Normal"/>
    <w:link w:val="Ttulo2Car"/>
    <w:uiPriority w:val="9"/>
    <w:unhideWhenUsed/>
    <w:qFormat/>
    <w:rsid w:val="006B62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2E74B5" w:themeColor="accent1" w:themeShade="BF"/>
      <w:sz w:val="26"/>
      <w:szCs w:val="26"/>
      <w:bdr w:val="none" w:sz="0" w:space="0" w:color="auto"/>
    </w:rPr>
  </w:style>
  <w:style w:type="paragraph" w:styleId="Ttulo3">
    <w:name w:val="heading 3"/>
    <w:basedOn w:val="Normal"/>
    <w:next w:val="Normal"/>
    <w:link w:val="Ttulo3Car"/>
    <w:uiPriority w:val="9"/>
    <w:unhideWhenUsed/>
    <w:qFormat/>
    <w:rsid w:val="006B62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D78" w:themeColor="accent1" w:themeShade="7F"/>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72"/>
    <w:qFormat/>
    <w:rsid w:val="00ED7332"/>
    <w:pPr>
      <w:ind w:left="720"/>
      <w:contextualSpacing/>
    </w:pPr>
  </w:style>
  <w:style w:type="paragraph" w:styleId="Textonotapie">
    <w:name w:val="footnote text"/>
    <w:basedOn w:val="Normal"/>
    <w:link w:val="TextonotapieCar"/>
    <w:uiPriority w:val="99"/>
    <w:unhideWhenUsed/>
    <w:rsid w:val="00ED7332"/>
    <w:rPr>
      <w:sz w:val="20"/>
      <w:szCs w:val="20"/>
    </w:rPr>
  </w:style>
  <w:style w:type="character" w:customStyle="1" w:styleId="TextonotapieCar">
    <w:name w:val="Texto nota pie Car"/>
    <w:basedOn w:val="Fuentedeprrafopredeter"/>
    <w:link w:val="Textonotapie"/>
    <w:uiPriority w:val="99"/>
    <w:rsid w:val="00ED7332"/>
    <w:rPr>
      <w:sz w:val="20"/>
      <w:szCs w:val="20"/>
    </w:rPr>
  </w:style>
  <w:style w:type="character" w:styleId="Refdenotaalpie">
    <w:name w:val="footnote reference"/>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link w:val="Prrafodelista"/>
    <w:uiPriority w:val="72"/>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table" w:styleId="Tablaconcuadrcula">
    <w:name w:val="Table Grid"/>
    <w:basedOn w:val="Tablanormal"/>
    <w:uiPriority w:val="39"/>
    <w:rsid w:val="0031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2F7D"/>
    <w:pPr>
      <w:spacing w:after="0" w:line="240" w:lineRule="auto"/>
    </w:pPr>
  </w:style>
  <w:style w:type="character" w:customStyle="1" w:styleId="Ttulo1Car">
    <w:name w:val="Título 1 Car"/>
    <w:basedOn w:val="Fuentedeprrafopredeter"/>
    <w:link w:val="Ttulo1"/>
    <w:uiPriority w:val="9"/>
    <w:rsid w:val="00C7654F"/>
    <w:rPr>
      <w:rFonts w:ascii="Palatino Linotype" w:eastAsiaTheme="majorEastAsia" w:hAnsi="Palatino Linotype" w:cs="Arial"/>
      <w:b/>
      <w:sz w:val="24"/>
      <w:szCs w:val="24"/>
      <w:bdr w:val="nil"/>
    </w:rPr>
  </w:style>
  <w:style w:type="paragraph" w:styleId="TtulodeTDC">
    <w:name w:val="TOC Heading"/>
    <w:basedOn w:val="Ttulo1"/>
    <w:next w:val="Normal"/>
    <w:uiPriority w:val="39"/>
    <w:unhideWhenUsed/>
    <w:qFormat/>
    <w:rsid w:val="00AE4F5B"/>
    <w:p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AE4F5B"/>
    <w:pPr>
      <w:tabs>
        <w:tab w:val="left" w:pos="660"/>
        <w:tab w:val="right" w:leader="dot" w:pos="8828"/>
      </w:tabs>
      <w:spacing w:after="100" w:line="360" w:lineRule="auto"/>
    </w:pPr>
    <w:rPr>
      <w:rFonts w:ascii="Palatino Linotype" w:hAnsi="Palatino Linotype"/>
      <w:b/>
      <w:noProof/>
    </w:rPr>
  </w:style>
  <w:style w:type="character" w:customStyle="1" w:styleId="Ttulo2Car">
    <w:name w:val="Título 2 Car"/>
    <w:basedOn w:val="Fuentedeprrafopredeter"/>
    <w:link w:val="Ttulo2"/>
    <w:uiPriority w:val="9"/>
    <w:rsid w:val="006B62B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B62BF"/>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6B62B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HAnsi" w:hAnsiTheme="minorHAnsi" w:cstheme="minorBidi"/>
      <w:sz w:val="22"/>
      <w:szCs w:val="22"/>
      <w:bdr w:val="none" w:sz="0" w:space="0" w:color="auto"/>
    </w:rPr>
  </w:style>
  <w:style w:type="character" w:styleId="Refdecomentario">
    <w:name w:val="annotation reference"/>
    <w:basedOn w:val="Fuentedeprrafopredeter"/>
    <w:uiPriority w:val="99"/>
    <w:semiHidden/>
    <w:unhideWhenUsed/>
    <w:rsid w:val="006B62BF"/>
    <w:rPr>
      <w:sz w:val="16"/>
      <w:szCs w:val="16"/>
    </w:rPr>
  </w:style>
  <w:style w:type="paragraph" w:styleId="TDC3">
    <w:name w:val="toc 3"/>
    <w:basedOn w:val="Normal"/>
    <w:next w:val="Normal"/>
    <w:autoRedefine/>
    <w:uiPriority w:val="39"/>
    <w:unhideWhenUsed/>
    <w:rsid w:val="006B62B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HAnsi" w:hAnsiTheme="minorHAnsi" w:cstheme="minorBidi"/>
      <w:sz w:val="22"/>
      <w:szCs w:val="22"/>
      <w:bdr w:val="none" w:sz="0" w:space="0" w:color="auto"/>
    </w:rPr>
  </w:style>
  <w:style w:type="paragraph" w:styleId="Textocomentario">
    <w:name w:val="annotation text"/>
    <w:basedOn w:val="Normal"/>
    <w:link w:val="TextocomentarioCar"/>
    <w:uiPriority w:val="99"/>
    <w:unhideWhenUsed/>
    <w:rsid w:val="00D761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rsid w:val="00D761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1/oct193.PDF" TargetMode="External"/><Relationship Id="rId1" Type="http://schemas.openxmlformats.org/officeDocument/2006/relationships/hyperlink" Target="http://biblio.juridicas.unam.mx/libros/1/419/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C4F6-6763-4BA8-833A-018FB6EA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4234</Words>
  <Characters>23287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2018-08-07T23:43:00Z</cp:lastPrinted>
  <dcterms:created xsi:type="dcterms:W3CDTF">2018-11-06T20:21:00Z</dcterms:created>
  <dcterms:modified xsi:type="dcterms:W3CDTF">2018-11-06T20:23:00Z</dcterms:modified>
</cp:coreProperties>
</file>